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80821" w14:textId="77777777" w:rsidR="00EC03A5" w:rsidRPr="007A4A8C" w:rsidRDefault="00EC03A5" w:rsidP="007A4A8C">
      <w:pPr>
        <w:spacing w:after="0"/>
        <w:rPr>
          <w:b/>
        </w:rPr>
      </w:pPr>
    </w:p>
    <w:p w14:paraId="4F7CC403" w14:textId="77C1150F" w:rsidR="000B01A4" w:rsidRPr="003110FB" w:rsidRDefault="00DC4C91" w:rsidP="000B01A4">
      <w:pPr>
        <w:pStyle w:val="ListParagraph"/>
        <w:numPr>
          <w:ilvl w:val="0"/>
          <w:numId w:val="1"/>
        </w:numPr>
        <w:spacing w:after="0"/>
      </w:pPr>
      <w:r>
        <w:t>Working group n</w:t>
      </w:r>
      <w:r w:rsidR="000B01A4" w:rsidRPr="003110FB">
        <w:t>ame:</w:t>
      </w:r>
    </w:p>
    <w:p w14:paraId="0E37D7E6" w14:textId="77777777" w:rsidR="00D628BC" w:rsidRDefault="00D628BC" w:rsidP="00725073">
      <w:pPr>
        <w:spacing w:after="0"/>
        <w:ind w:left="720"/>
        <w:rPr>
          <w:i/>
          <w:color w:val="2E74B5" w:themeColor="accent1" w:themeShade="BF"/>
        </w:rPr>
      </w:pPr>
    </w:p>
    <w:p w14:paraId="007881C2" w14:textId="49D10C29" w:rsidR="000B01A4" w:rsidRPr="00D628BC" w:rsidRDefault="00725073" w:rsidP="00725073">
      <w:pPr>
        <w:spacing w:after="0"/>
        <w:ind w:left="720"/>
        <w:rPr>
          <w:i/>
          <w:color w:val="2E74B5" w:themeColor="accent1" w:themeShade="BF"/>
        </w:rPr>
      </w:pPr>
      <w:r w:rsidRPr="00D628BC">
        <w:rPr>
          <w:i/>
          <w:color w:val="2E74B5" w:themeColor="accent1" w:themeShade="BF"/>
        </w:rPr>
        <w:t>Cultivation</w:t>
      </w:r>
      <w:r w:rsidR="00D628BC">
        <w:rPr>
          <w:i/>
          <w:color w:val="2E74B5" w:themeColor="accent1" w:themeShade="BF"/>
        </w:rPr>
        <w:t xml:space="preserve"> Working Group</w:t>
      </w:r>
    </w:p>
    <w:p w14:paraId="403A0A8A" w14:textId="77777777" w:rsidR="000B01A4" w:rsidRPr="003110FB" w:rsidRDefault="000B01A4" w:rsidP="000B01A4">
      <w:pPr>
        <w:pStyle w:val="ListParagraph"/>
        <w:spacing w:after="0"/>
      </w:pPr>
      <w:bookmarkStart w:id="0" w:name="_GoBack"/>
      <w:bookmarkEnd w:id="0"/>
    </w:p>
    <w:p w14:paraId="0DB32DFC" w14:textId="142AAB3B" w:rsidR="007746E2" w:rsidRPr="003110FB" w:rsidRDefault="00DC4C91" w:rsidP="007A4A8C">
      <w:pPr>
        <w:pStyle w:val="ListParagraph"/>
        <w:numPr>
          <w:ilvl w:val="0"/>
          <w:numId w:val="1"/>
        </w:numPr>
        <w:spacing w:after="0"/>
      </w:pPr>
      <w:r>
        <w:t>Individual s</w:t>
      </w:r>
      <w:r w:rsidR="007746E2" w:rsidRPr="003110FB">
        <w:t xml:space="preserve">ponsor(s): </w:t>
      </w:r>
    </w:p>
    <w:p w14:paraId="0F623EC4" w14:textId="77777777" w:rsidR="00D628BC" w:rsidRDefault="00D628BC" w:rsidP="00725073">
      <w:pPr>
        <w:spacing w:after="0"/>
        <w:ind w:left="720"/>
        <w:rPr>
          <w:color w:val="2E74B5" w:themeColor="accent1" w:themeShade="BF"/>
        </w:rPr>
      </w:pPr>
    </w:p>
    <w:p w14:paraId="2DF7D040" w14:textId="6F3D916A" w:rsidR="000B01A4" w:rsidRPr="00D628BC" w:rsidRDefault="00725073" w:rsidP="00725073">
      <w:pPr>
        <w:spacing w:after="0"/>
        <w:ind w:left="720"/>
        <w:rPr>
          <w:i/>
          <w:color w:val="2E74B5" w:themeColor="accent1" w:themeShade="BF"/>
        </w:rPr>
      </w:pPr>
      <w:r w:rsidRPr="00D628BC">
        <w:rPr>
          <w:i/>
          <w:color w:val="2E74B5" w:themeColor="accent1" w:themeShade="BF"/>
        </w:rPr>
        <w:t>Amanda Connor-Connor &amp; Connor</w:t>
      </w:r>
    </w:p>
    <w:p w14:paraId="5B83ED90" w14:textId="542D70E2" w:rsidR="00725073" w:rsidRPr="00D628BC" w:rsidRDefault="00725073" w:rsidP="00725073">
      <w:pPr>
        <w:spacing w:after="0"/>
        <w:ind w:left="720"/>
        <w:rPr>
          <w:i/>
          <w:color w:val="2E74B5" w:themeColor="accent1" w:themeShade="BF"/>
        </w:rPr>
      </w:pPr>
      <w:r w:rsidRPr="00D628BC">
        <w:rPr>
          <w:i/>
          <w:color w:val="2E74B5" w:themeColor="accent1" w:themeShade="BF"/>
        </w:rPr>
        <w:t>Tessa Rognier-N</w:t>
      </w:r>
      <w:r w:rsidR="006D666F">
        <w:rPr>
          <w:i/>
          <w:color w:val="2E74B5" w:themeColor="accent1" w:themeShade="BF"/>
        </w:rPr>
        <w:t xml:space="preserve">evada </w:t>
      </w:r>
      <w:r w:rsidRPr="00D628BC">
        <w:rPr>
          <w:i/>
          <w:color w:val="2E74B5" w:themeColor="accent1" w:themeShade="BF"/>
        </w:rPr>
        <w:t>D</w:t>
      </w:r>
      <w:r w:rsidR="006D666F">
        <w:rPr>
          <w:i/>
          <w:color w:val="2E74B5" w:themeColor="accent1" w:themeShade="BF"/>
        </w:rPr>
        <w:t xml:space="preserve">epartment of </w:t>
      </w:r>
      <w:r w:rsidRPr="00D628BC">
        <w:rPr>
          <w:i/>
          <w:color w:val="2E74B5" w:themeColor="accent1" w:themeShade="BF"/>
        </w:rPr>
        <w:t>A</w:t>
      </w:r>
      <w:r w:rsidR="006D666F">
        <w:rPr>
          <w:i/>
          <w:color w:val="2E74B5" w:themeColor="accent1" w:themeShade="BF"/>
        </w:rPr>
        <w:t>griculture</w:t>
      </w:r>
    </w:p>
    <w:p w14:paraId="16FCE777" w14:textId="77777777" w:rsidR="000B01A4" w:rsidRPr="003110FB" w:rsidRDefault="000B01A4" w:rsidP="000B01A4">
      <w:pPr>
        <w:spacing w:after="0"/>
      </w:pPr>
    </w:p>
    <w:p w14:paraId="7F488D41" w14:textId="7095E274" w:rsidR="000B01A4" w:rsidRDefault="00DC4C91" w:rsidP="000B01A4">
      <w:pPr>
        <w:pStyle w:val="ListParagraph"/>
        <w:numPr>
          <w:ilvl w:val="0"/>
          <w:numId w:val="1"/>
        </w:numPr>
        <w:spacing w:after="0"/>
      </w:pPr>
      <w:r>
        <w:t>Describe the r</w:t>
      </w:r>
      <w:r w:rsidR="000B01A4" w:rsidRPr="003110FB">
        <w:t>ecommendation:</w:t>
      </w:r>
    </w:p>
    <w:p w14:paraId="427C7617" w14:textId="77777777" w:rsidR="00D628BC" w:rsidRPr="003110FB" w:rsidRDefault="00D628BC" w:rsidP="00D628BC">
      <w:pPr>
        <w:pStyle w:val="ListParagraph"/>
        <w:spacing w:after="0"/>
      </w:pPr>
    </w:p>
    <w:p w14:paraId="231C9905" w14:textId="6077361F" w:rsidR="00810F46" w:rsidRPr="00D628BC" w:rsidRDefault="00725073" w:rsidP="00D628BC">
      <w:pPr>
        <w:spacing w:after="0"/>
        <w:ind w:left="720"/>
        <w:jc w:val="both"/>
        <w:rPr>
          <w:i/>
          <w:color w:val="2E74B5" w:themeColor="accent1" w:themeShade="BF"/>
        </w:rPr>
      </w:pPr>
      <w:r w:rsidRPr="00D628BC">
        <w:rPr>
          <w:i/>
          <w:color w:val="2E74B5" w:themeColor="accent1" w:themeShade="BF"/>
        </w:rPr>
        <w:t>The recommendation is to guide the Nevada Department of Taxation on the issuance of licensing for marijuana establishments during the 18 month period after the Department begins to receive applications.</w:t>
      </w:r>
      <w:r w:rsidR="000C1E59" w:rsidRPr="00D628BC">
        <w:rPr>
          <w:i/>
          <w:color w:val="2E74B5" w:themeColor="accent1" w:themeShade="BF"/>
        </w:rPr>
        <w:t xml:space="preserve">  </w:t>
      </w:r>
      <w:r w:rsidR="003D59B9" w:rsidRPr="00D628BC">
        <w:rPr>
          <w:i/>
          <w:color w:val="2E74B5" w:themeColor="accent1" w:themeShade="BF"/>
        </w:rPr>
        <w:t xml:space="preserve">For the Medical Marijuana </w:t>
      </w:r>
      <w:r w:rsidR="00F565DE" w:rsidRPr="00D628BC">
        <w:rPr>
          <w:i/>
          <w:color w:val="2E74B5" w:themeColor="accent1" w:themeShade="BF"/>
        </w:rPr>
        <w:t xml:space="preserve">Establishment (MME) </w:t>
      </w:r>
      <w:r w:rsidR="003D59B9" w:rsidRPr="00D628BC">
        <w:rPr>
          <w:i/>
          <w:color w:val="2E74B5" w:themeColor="accent1" w:themeShade="BF"/>
        </w:rPr>
        <w:t>program t</w:t>
      </w:r>
      <w:r w:rsidR="000C1E59" w:rsidRPr="00D628BC">
        <w:rPr>
          <w:i/>
          <w:color w:val="2E74B5" w:themeColor="accent1" w:themeShade="BF"/>
        </w:rPr>
        <w:t xml:space="preserve">here were 182 cultivation establishments initially approved.  Of the 182, </w:t>
      </w:r>
      <w:r w:rsidR="003D59B9" w:rsidRPr="00D628BC">
        <w:rPr>
          <w:i/>
          <w:color w:val="2E74B5" w:themeColor="accent1" w:themeShade="BF"/>
        </w:rPr>
        <w:t xml:space="preserve">there are currently </w:t>
      </w:r>
      <w:r w:rsidR="000C1E59" w:rsidRPr="00D628BC">
        <w:rPr>
          <w:i/>
          <w:color w:val="2E74B5" w:themeColor="accent1" w:themeShade="BF"/>
        </w:rPr>
        <w:t>87 facilities</w:t>
      </w:r>
      <w:r w:rsidR="003D59B9" w:rsidRPr="00D628BC">
        <w:rPr>
          <w:i/>
          <w:color w:val="2E74B5" w:themeColor="accent1" w:themeShade="BF"/>
        </w:rPr>
        <w:t xml:space="preserve"> </w:t>
      </w:r>
      <w:r w:rsidR="000C1E59" w:rsidRPr="00D628BC">
        <w:rPr>
          <w:i/>
          <w:color w:val="2E74B5" w:themeColor="accent1" w:themeShade="BF"/>
        </w:rPr>
        <w:t>approved and currently operating</w:t>
      </w:r>
      <w:r w:rsidR="00AC36CE" w:rsidRPr="00D628BC">
        <w:rPr>
          <w:i/>
          <w:color w:val="2E74B5" w:themeColor="accent1" w:themeShade="BF"/>
        </w:rPr>
        <w:t xml:space="preserve">, with 91 MME licenses </w:t>
      </w:r>
      <w:r w:rsidR="00F565DE" w:rsidRPr="00D628BC">
        <w:rPr>
          <w:i/>
          <w:color w:val="2E74B5" w:themeColor="accent1" w:themeShade="BF"/>
        </w:rPr>
        <w:t>in provisional status</w:t>
      </w:r>
      <w:r w:rsidR="000C1E59" w:rsidRPr="00D628BC">
        <w:rPr>
          <w:i/>
          <w:color w:val="2E74B5" w:themeColor="accent1" w:themeShade="BF"/>
        </w:rPr>
        <w:t xml:space="preserve">.  Many of these </w:t>
      </w:r>
      <w:r w:rsidR="00C06DA9" w:rsidRPr="00D628BC">
        <w:rPr>
          <w:i/>
          <w:color w:val="2E74B5" w:themeColor="accent1" w:themeShade="BF"/>
        </w:rPr>
        <w:t xml:space="preserve">operating </w:t>
      </w:r>
      <w:r w:rsidR="000C1E59" w:rsidRPr="00D628BC">
        <w:rPr>
          <w:i/>
          <w:color w:val="2E74B5" w:themeColor="accent1" w:themeShade="BF"/>
        </w:rPr>
        <w:t xml:space="preserve">facilities are not utilizing their entire facility </w:t>
      </w:r>
      <w:r w:rsidR="003D59B9" w:rsidRPr="00D628BC">
        <w:rPr>
          <w:i/>
          <w:color w:val="2E74B5" w:themeColor="accent1" w:themeShade="BF"/>
        </w:rPr>
        <w:t xml:space="preserve">footprint </w:t>
      </w:r>
      <w:r w:rsidR="00065ACB" w:rsidRPr="00D628BC">
        <w:rPr>
          <w:i/>
          <w:color w:val="2E74B5" w:themeColor="accent1" w:themeShade="BF"/>
        </w:rPr>
        <w:t xml:space="preserve">due to the high supply </w:t>
      </w:r>
      <w:r w:rsidR="00C06DA9" w:rsidRPr="00D628BC">
        <w:rPr>
          <w:i/>
          <w:color w:val="2E74B5" w:themeColor="accent1" w:themeShade="BF"/>
        </w:rPr>
        <w:t xml:space="preserve">of marijuana </w:t>
      </w:r>
      <w:r w:rsidR="00065ACB" w:rsidRPr="00D628BC">
        <w:rPr>
          <w:i/>
          <w:color w:val="2E74B5" w:themeColor="accent1" w:themeShade="BF"/>
        </w:rPr>
        <w:t xml:space="preserve">currently available.  </w:t>
      </w:r>
      <w:r w:rsidR="00D55974" w:rsidRPr="00D628BC">
        <w:rPr>
          <w:i/>
          <w:color w:val="2E74B5" w:themeColor="accent1" w:themeShade="BF"/>
        </w:rPr>
        <w:t xml:space="preserve">We recommend approving </w:t>
      </w:r>
      <w:r w:rsidR="00FB252E" w:rsidRPr="00D628BC">
        <w:rPr>
          <w:i/>
          <w:color w:val="2E74B5" w:themeColor="accent1" w:themeShade="BF"/>
        </w:rPr>
        <w:t xml:space="preserve">retail </w:t>
      </w:r>
      <w:r w:rsidR="00D55974" w:rsidRPr="00D628BC">
        <w:rPr>
          <w:i/>
          <w:color w:val="2E74B5" w:themeColor="accent1" w:themeShade="BF"/>
        </w:rPr>
        <w:t xml:space="preserve">marijuana </w:t>
      </w:r>
      <w:r w:rsidR="00FB252E" w:rsidRPr="00D628BC">
        <w:rPr>
          <w:i/>
          <w:color w:val="2E74B5" w:themeColor="accent1" w:themeShade="BF"/>
        </w:rPr>
        <w:t xml:space="preserve">cultivation </w:t>
      </w:r>
      <w:r w:rsidR="00AF16B9" w:rsidRPr="00D628BC">
        <w:rPr>
          <w:i/>
          <w:color w:val="2E74B5" w:themeColor="accent1" w:themeShade="BF"/>
        </w:rPr>
        <w:t>establishment requests</w:t>
      </w:r>
      <w:r w:rsidR="00D55974" w:rsidRPr="00D628BC">
        <w:rPr>
          <w:i/>
          <w:color w:val="2E74B5" w:themeColor="accent1" w:themeShade="BF"/>
        </w:rPr>
        <w:t xml:space="preserve"> to existing </w:t>
      </w:r>
      <w:r w:rsidR="00AC36CE" w:rsidRPr="00D628BC">
        <w:rPr>
          <w:i/>
          <w:color w:val="2E74B5" w:themeColor="accent1" w:themeShade="BF"/>
        </w:rPr>
        <w:t>M</w:t>
      </w:r>
      <w:r w:rsidR="00D55974" w:rsidRPr="00D628BC">
        <w:rPr>
          <w:i/>
          <w:color w:val="2E74B5" w:themeColor="accent1" w:themeShade="BF"/>
        </w:rPr>
        <w:t xml:space="preserve">edical </w:t>
      </w:r>
      <w:r w:rsidR="00AC36CE" w:rsidRPr="00D628BC">
        <w:rPr>
          <w:i/>
          <w:color w:val="2E74B5" w:themeColor="accent1" w:themeShade="BF"/>
        </w:rPr>
        <w:t>M</w:t>
      </w:r>
      <w:r w:rsidR="00D55974" w:rsidRPr="00D628BC">
        <w:rPr>
          <w:i/>
          <w:color w:val="2E74B5" w:themeColor="accent1" w:themeShade="BF"/>
        </w:rPr>
        <w:t xml:space="preserve">arijuana </w:t>
      </w:r>
      <w:r w:rsidR="00AC36CE" w:rsidRPr="00D628BC">
        <w:rPr>
          <w:i/>
          <w:color w:val="2E74B5" w:themeColor="accent1" w:themeShade="BF"/>
        </w:rPr>
        <w:t>E</w:t>
      </w:r>
      <w:r w:rsidR="00D55974" w:rsidRPr="00D628BC">
        <w:rPr>
          <w:i/>
          <w:color w:val="2E74B5" w:themeColor="accent1" w:themeShade="BF"/>
        </w:rPr>
        <w:t>stablishments at a ratio of 1 to 1</w:t>
      </w:r>
      <w:r w:rsidR="0001125E" w:rsidRPr="00D628BC">
        <w:rPr>
          <w:i/>
          <w:color w:val="2E74B5" w:themeColor="accent1" w:themeShade="BF"/>
        </w:rPr>
        <w:t xml:space="preserve">, giving approved and provisional MME’s the first opportunity to expand into the new market.  </w:t>
      </w:r>
      <w:r w:rsidR="00F565DE" w:rsidRPr="00D628BC">
        <w:rPr>
          <w:i/>
          <w:color w:val="2E74B5" w:themeColor="accent1" w:themeShade="BF"/>
        </w:rPr>
        <w:t>With these additional provisional licenses coupled with the</w:t>
      </w:r>
      <w:r w:rsidR="0001125E" w:rsidRPr="00D628BC">
        <w:rPr>
          <w:i/>
          <w:color w:val="2E74B5" w:themeColor="accent1" w:themeShade="BF"/>
        </w:rPr>
        <w:t xml:space="preserve"> potential for expansion by current MME facilities, we believe the supply needed to fulfill the increase in demand the retail program will create can be met</w:t>
      </w:r>
      <w:r w:rsidR="00575DB5" w:rsidRPr="00D628BC">
        <w:rPr>
          <w:i/>
          <w:color w:val="2E74B5" w:themeColor="accent1" w:themeShade="BF"/>
        </w:rPr>
        <w:t xml:space="preserve"> for</w:t>
      </w:r>
      <w:r w:rsidR="002A599D" w:rsidRPr="00D628BC">
        <w:rPr>
          <w:i/>
          <w:color w:val="2E74B5" w:themeColor="accent1" w:themeShade="BF"/>
        </w:rPr>
        <w:t xml:space="preserve"> the 18 months, we do not see a need to approve any further cultivation licensees.  </w:t>
      </w:r>
    </w:p>
    <w:p w14:paraId="69B86FED" w14:textId="37D41728" w:rsidR="001D6D11" w:rsidRPr="00D628BC" w:rsidRDefault="00575DB5" w:rsidP="00D628BC">
      <w:pPr>
        <w:spacing w:after="0"/>
        <w:ind w:left="720"/>
        <w:jc w:val="both"/>
        <w:rPr>
          <w:i/>
          <w:color w:val="2E74B5" w:themeColor="accent1" w:themeShade="BF"/>
        </w:rPr>
      </w:pPr>
      <w:r w:rsidRPr="00D628BC">
        <w:rPr>
          <w:i/>
          <w:color w:val="2E74B5" w:themeColor="accent1" w:themeShade="BF"/>
        </w:rPr>
        <w:t xml:space="preserve">We </w:t>
      </w:r>
      <w:r w:rsidR="002A599D" w:rsidRPr="00D628BC">
        <w:rPr>
          <w:i/>
          <w:color w:val="2E74B5" w:themeColor="accent1" w:themeShade="BF"/>
        </w:rPr>
        <w:t xml:space="preserve">recommend </w:t>
      </w:r>
      <w:r w:rsidRPr="00D628BC">
        <w:rPr>
          <w:i/>
          <w:color w:val="2E74B5" w:themeColor="accent1" w:themeShade="BF"/>
        </w:rPr>
        <w:t xml:space="preserve">that the Department </w:t>
      </w:r>
      <w:r w:rsidRPr="00DB7A5F">
        <w:rPr>
          <w:i/>
          <w:strike/>
          <w:color w:val="FF0000"/>
        </w:rPr>
        <w:t>can</w:t>
      </w:r>
      <w:r w:rsidR="00DB7A5F">
        <w:rPr>
          <w:i/>
          <w:color w:val="2E74B5" w:themeColor="accent1" w:themeShade="BF"/>
        </w:rPr>
        <w:t xml:space="preserve"> </w:t>
      </w:r>
      <w:r w:rsidR="00DB7A5F" w:rsidRPr="00DB7A5F">
        <w:rPr>
          <w:i/>
          <w:color w:val="FF0000"/>
        </w:rPr>
        <w:t>annually</w:t>
      </w:r>
      <w:r w:rsidRPr="00D628BC">
        <w:rPr>
          <w:i/>
          <w:color w:val="2E74B5" w:themeColor="accent1" w:themeShade="BF"/>
        </w:rPr>
        <w:t xml:space="preserve"> </w:t>
      </w:r>
      <w:r w:rsidRPr="00DB7A5F">
        <w:rPr>
          <w:i/>
          <w:color w:val="FF0000"/>
        </w:rPr>
        <w:t>evaluate</w:t>
      </w:r>
      <w:r w:rsidR="00DB7A5F" w:rsidRPr="00DB7A5F">
        <w:rPr>
          <w:i/>
          <w:color w:val="FF0000"/>
        </w:rPr>
        <w:t xml:space="preserve"> marijuana market supply to assess</w:t>
      </w:r>
      <w:r w:rsidRPr="00D628BC">
        <w:rPr>
          <w:i/>
          <w:color w:val="2E74B5" w:themeColor="accent1" w:themeShade="BF"/>
        </w:rPr>
        <w:t xml:space="preserve"> new cultivation requests </w:t>
      </w:r>
      <w:r w:rsidR="002A599D" w:rsidRPr="00D628BC">
        <w:rPr>
          <w:i/>
          <w:color w:val="2E74B5" w:themeColor="accent1" w:themeShade="BF"/>
        </w:rPr>
        <w:t xml:space="preserve">to assure market stability and supply.  In the attached supply analysis for the Nevada Medical Marijuana </w:t>
      </w:r>
      <w:r w:rsidR="00810F46" w:rsidRPr="00D628BC">
        <w:rPr>
          <w:i/>
          <w:color w:val="2E74B5" w:themeColor="accent1" w:themeShade="BF"/>
        </w:rPr>
        <w:t xml:space="preserve">Establishment </w:t>
      </w:r>
      <w:r w:rsidR="002A599D" w:rsidRPr="00D628BC">
        <w:rPr>
          <w:i/>
          <w:color w:val="2E74B5" w:themeColor="accent1" w:themeShade="BF"/>
        </w:rPr>
        <w:t xml:space="preserve">Program, </w:t>
      </w:r>
      <w:r w:rsidRPr="00D628BC">
        <w:rPr>
          <w:i/>
          <w:color w:val="2E74B5" w:themeColor="accent1" w:themeShade="BF"/>
        </w:rPr>
        <w:t>we</w:t>
      </w:r>
      <w:r w:rsidR="002A599D" w:rsidRPr="00D628BC">
        <w:rPr>
          <w:i/>
          <w:color w:val="2E74B5" w:themeColor="accent1" w:themeShade="BF"/>
        </w:rPr>
        <w:t xml:space="preserve"> calculated an estimated 0.1 pounds of marijuana can be grown </w:t>
      </w:r>
      <w:r w:rsidRPr="00D628BC">
        <w:rPr>
          <w:i/>
          <w:color w:val="2E74B5" w:themeColor="accent1" w:themeShade="BF"/>
        </w:rPr>
        <w:t xml:space="preserve">indoors </w:t>
      </w:r>
      <w:r w:rsidR="002A599D" w:rsidRPr="00D628BC">
        <w:rPr>
          <w:i/>
          <w:color w:val="2E74B5" w:themeColor="accent1" w:themeShade="BF"/>
        </w:rPr>
        <w:t>per square foot</w:t>
      </w:r>
      <w:r w:rsidR="00810F46" w:rsidRPr="00D628BC">
        <w:rPr>
          <w:i/>
          <w:color w:val="2E74B5" w:themeColor="accent1" w:themeShade="BF"/>
        </w:rPr>
        <w:t xml:space="preserve"> of grow room space</w:t>
      </w:r>
      <w:r w:rsidR="002A599D" w:rsidRPr="00D628BC">
        <w:rPr>
          <w:i/>
          <w:color w:val="2E74B5" w:themeColor="accent1" w:themeShade="BF"/>
        </w:rPr>
        <w:t>.  Using this type of calculation</w:t>
      </w:r>
      <w:r w:rsidR="00672BE0" w:rsidRPr="00D628BC">
        <w:rPr>
          <w:i/>
          <w:color w:val="2E74B5" w:themeColor="accent1" w:themeShade="BF"/>
        </w:rPr>
        <w:t xml:space="preserve"> would help</w:t>
      </w:r>
      <w:r w:rsidR="00810F46" w:rsidRPr="00D628BC">
        <w:rPr>
          <w:i/>
          <w:color w:val="2E74B5" w:themeColor="accent1" w:themeShade="BF"/>
        </w:rPr>
        <w:t xml:space="preserve"> the Department </w:t>
      </w:r>
      <w:r w:rsidR="002A599D" w:rsidRPr="00D628BC">
        <w:rPr>
          <w:i/>
          <w:color w:val="2E74B5" w:themeColor="accent1" w:themeShade="BF"/>
        </w:rPr>
        <w:t xml:space="preserve">determine facility growth needs to match </w:t>
      </w:r>
      <w:r w:rsidR="00E76E2C" w:rsidRPr="00D628BC">
        <w:rPr>
          <w:i/>
          <w:color w:val="2E74B5" w:themeColor="accent1" w:themeShade="BF"/>
        </w:rPr>
        <w:t xml:space="preserve">growth in the medical and retail </w:t>
      </w:r>
      <w:r w:rsidR="002A599D" w:rsidRPr="00D628BC">
        <w:rPr>
          <w:i/>
          <w:color w:val="2E74B5" w:themeColor="accent1" w:themeShade="BF"/>
        </w:rPr>
        <w:t>market</w:t>
      </w:r>
      <w:r w:rsidR="00E76E2C" w:rsidRPr="00D628BC">
        <w:rPr>
          <w:i/>
          <w:color w:val="2E74B5" w:themeColor="accent1" w:themeShade="BF"/>
        </w:rPr>
        <w:t>s</w:t>
      </w:r>
      <w:r w:rsidR="002A599D" w:rsidRPr="00D628BC">
        <w:rPr>
          <w:i/>
          <w:color w:val="2E74B5" w:themeColor="accent1" w:themeShade="BF"/>
        </w:rPr>
        <w:t>.</w:t>
      </w:r>
      <w:r w:rsidR="00865368" w:rsidRPr="00D628BC">
        <w:rPr>
          <w:i/>
          <w:color w:val="2E74B5" w:themeColor="accent1" w:themeShade="BF"/>
        </w:rPr>
        <w:t xml:space="preserve">  </w:t>
      </w:r>
    </w:p>
    <w:p w14:paraId="4A3730F6" w14:textId="77777777" w:rsidR="00E9081E" w:rsidRPr="003110FB" w:rsidRDefault="00E9081E" w:rsidP="00AF169D">
      <w:pPr>
        <w:spacing w:after="0"/>
      </w:pPr>
    </w:p>
    <w:p w14:paraId="425E2003" w14:textId="2FCD5F2E" w:rsidR="00E9081E" w:rsidRPr="003110FB" w:rsidRDefault="00DC4C91" w:rsidP="00E9081E">
      <w:pPr>
        <w:pStyle w:val="ListParagraph"/>
        <w:numPr>
          <w:ilvl w:val="0"/>
          <w:numId w:val="1"/>
        </w:numPr>
        <w:spacing w:after="0"/>
      </w:pPr>
      <w:r>
        <w:t>Which guiding p</w:t>
      </w:r>
      <w:r w:rsidR="00E9081E" w:rsidRPr="003110FB">
        <w:t>rinciple(s) does this recommendation support?</w:t>
      </w:r>
    </w:p>
    <w:p w14:paraId="3BCB1870" w14:textId="77777777" w:rsidR="00D628BC" w:rsidRDefault="00D628BC" w:rsidP="00942A69">
      <w:pPr>
        <w:spacing w:after="0"/>
        <w:ind w:left="720"/>
        <w:rPr>
          <w:color w:val="2E74B5" w:themeColor="accent1" w:themeShade="BF"/>
        </w:rPr>
      </w:pPr>
    </w:p>
    <w:p w14:paraId="40B6542C" w14:textId="249D900C" w:rsidR="00E9081E" w:rsidRPr="00D628BC" w:rsidRDefault="00942A69" w:rsidP="00D628BC">
      <w:pPr>
        <w:spacing w:after="0"/>
        <w:ind w:left="720"/>
        <w:jc w:val="both"/>
        <w:rPr>
          <w:i/>
          <w:color w:val="2E74B5" w:themeColor="accent1" w:themeShade="BF"/>
        </w:rPr>
      </w:pPr>
      <w:r w:rsidRPr="00D628BC">
        <w:rPr>
          <w:i/>
          <w:color w:val="2E74B5" w:themeColor="accent1" w:themeShade="BF"/>
        </w:rPr>
        <w:t xml:space="preserve">Guiding Principal </w:t>
      </w:r>
      <w:r w:rsidR="00D628BC" w:rsidRPr="00D628BC">
        <w:rPr>
          <w:i/>
          <w:color w:val="2E74B5" w:themeColor="accent1" w:themeShade="BF"/>
        </w:rPr>
        <w:t xml:space="preserve">2 </w:t>
      </w:r>
      <w:r w:rsidRPr="00D628BC">
        <w:rPr>
          <w:i/>
          <w:color w:val="2E74B5" w:themeColor="accent1" w:themeShade="BF"/>
        </w:rPr>
        <w:t>- Be responsive to the needs and issues of consumers, non-consumers, local governments and the industry</w:t>
      </w:r>
    </w:p>
    <w:p w14:paraId="2DC7E08C" w14:textId="77777777" w:rsidR="00E9081E" w:rsidRPr="003110FB" w:rsidRDefault="00E9081E" w:rsidP="00E9081E">
      <w:pPr>
        <w:spacing w:after="0"/>
      </w:pPr>
    </w:p>
    <w:p w14:paraId="67FE160D" w14:textId="77777777" w:rsidR="00E9081E" w:rsidRPr="003110FB" w:rsidRDefault="00E9081E" w:rsidP="00E9081E">
      <w:pPr>
        <w:pStyle w:val="ListParagraph"/>
        <w:numPr>
          <w:ilvl w:val="0"/>
          <w:numId w:val="1"/>
        </w:numPr>
        <w:spacing w:after="0"/>
      </w:pPr>
      <w:r w:rsidRPr="003110FB">
        <w:t xml:space="preserve">What provision(s) of Question 2 does this recommendation apply to?  </w:t>
      </w:r>
    </w:p>
    <w:p w14:paraId="4BABDE85" w14:textId="77777777" w:rsidR="00D628BC" w:rsidRDefault="00D628BC" w:rsidP="00942A69">
      <w:pPr>
        <w:pStyle w:val="ListParagraph"/>
        <w:spacing w:after="0"/>
        <w:rPr>
          <w:color w:val="2E74B5" w:themeColor="accent1" w:themeShade="BF"/>
        </w:rPr>
      </w:pPr>
    </w:p>
    <w:p w14:paraId="3F4F9EA1" w14:textId="7A9FA990" w:rsidR="00E9081E" w:rsidRPr="00D628BC" w:rsidRDefault="00942A69" w:rsidP="00942A69">
      <w:pPr>
        <w:pStyle w:val="ListParagraph"/>
        <w:spacing w:after="0"/>
        <w:rPr>
          <w:i/>
          <w:color w:val="2E74B5" w:themeColor="accent1" w:themeShade="BF"/>
        </w:rPr>
      </w:pPr>
      <w:r w:rsidRPr="00D628BC">
        <w:rPr>
          <w:i/>
          <w:color w:val="2E74B5" w:themeColor="accent1" w:themeShade="BF"/>
        </w:rPr>
        <w:t>Section 10- Certification of marijuana establishments</w:t>
      </w:r>
    </w:p>
    <w:p w14:paraId="6C85577C" w14:textId="77777777" w:rsidR="00E9081E" w:rsidRDefault="00E9081E" w:rsidP="00E9081E">
      <w:pPr>
        <w:pStyle w:val="ListParagraph"/>
        <w:spacing w:after="0"/>
      </w:pPr>
    </w:p>
    <w:p w14:paraId="44BECC78" w14:textId="77777777" w:rsidR="00D628BC" w:rsidRDefault="00D628BC" w:rsidP="00E9081E">
      <w:pPr>
        <w:pStyle w:val="ListParagraph"/>
        <w:spacing w:after="0"/>
      </w:pPr>
    </w:p>
    <w:p w14:paraId="66B6E285" w14:textId="77777777" w:rsidR="00D628BC" w:rsidRDefault="00D628BC" w:rsidP="00E9081E">
      <w:pPr>
        <w:pStyle w:val="ListParagraph"/>
        <w:spacing w:after="0"/>
      </w:pPr>
    </w:p>
    <w:p w14:paraId="111CFABC" w14:textId="77777777" w:rsidR="00D628BC" w:rsidRDefault="00D628BC" w:rsidP="00E9081E">
      <w:pPr>
        <w:pStyle w:val="ListParagraph"/>
        <w:spacing w:after="0"/>
      </w:pPr>
    </w:p>
    <w:p w14:paraId="1FCBBFC9" w14:textId="77777777" w:rsidR="00D628BC" w:rsidRPr="003110FB" w:rsidRDefault="00D628BC" w:rsidP="00E9081E">
      <w:pPr>
        <w:pStyle w:val="ListParagraph"/>
        <w:spacing w:after="0"/>
      </w:pPr>
    </w:p>
    <w:p w14:paraId="527A1772" w14:textId="77777777" w:rsidR="007A4A8C" w:rsidRDefault="00E9081E" w:rsidP="00E9081E">
      <w:pPr>
        <w:pStyle w:val="ListParagraph"/>
        <w:numPr>
          <w:ilvl w:val="0"/>
          <w:numId w:val="1"/>
        </w:numPr>
        <w:spacing w:after="0"/>
      </w:pPr>
      <w:r w:rsidRPr="003110FB">
        <w:lastRenderedPageBreak/>
        <w:t>What issue(s) does the recommendation resolve?</w:t>
      </w:r>
    </w:p>
    <w:p w14:paraId="1B847D12" w14:textId="77777777" w:rsidR="00D628BC" w:rsidRPr="003110FB" w:rsidRDefault="00D628BC" w:rsidP="00D628BC">
      <w:pPr>
        <w:pStyle w:val="ListParagraph"/>
        <w:spacing w:after="0"/>
      </w:pPr>
    </w:p>
    <w:p w14:paraId="1377ECA8" w14:textId="1258F325" w:rsidR="001B0ADC" w:rsidRPr="00D628BC" w:rsidRDefault="00942A69" w:rsidP="00261B3E">
      <w:pPr>
        <w:spacing w:after="0"/>
        <w:ind w:left="720"/>
        <w:rPr>
          <w:i/>
          <w:color w:val="2E74B5" w:themeColor="accent1" w:themeShade="BF"/>
        </w:rPr>
      </w:pPr>
      <w:r w:rsidRPr="00D628BC">
        <w:rPr>
          <w:i/>
          <w:color w:val="2E74B5" w:themeColor="accent1" w:themeShade="BF"/>
        </w:rPr>
        <w:t xml:space="preserve">The issue of a balance between the supply of safe marijuana and marijuana products and consumer demand.  Creating an oversupply can cause prices to drop </w:t>
      </w:r>
      <w:r w:rsidR="00261B3E" w:rsidRPr="00D628BC">
        <w:rPr>
          <w:i/>
          <w:color w:val="2E74B5" w:themeColor="accent1" w:themeShade="BF"/>
        </w:rPr>
        <w:t xml:space="preserve">thus creating </w:t>
      </w:r>
      <w:r w:rsidRPr="00D628BC">
        <w:rPr>
          <w:i/>
          <w:color w:val="2E74B5" w:themeColor="accent1" w:themeShade="BF"/>
        </w:rPr>
        <w:t>an unsustainable industry for marijuana establishments.</w:t>
      </w:r>
    </w:p>
    <w:p w14:paraId="7ABEA5B8" w14:textId="77777777" w:rsidR="001B0ADC" w:rsidRPr="003110FB" w:rsidRDefault="001B0ADC" w:rsidP="001B0ADC">
      <w:pPr>
        <w:spacing w:after="0"/>
      </w:pPr>
    </w:p>
    <w:p w14:paraId="7818C550" w14:textId="27B59D19" w:rsidR="00E9081E" w:rsidRPr="003110FB" w:rsidRDefault="001B0ADC" w:rsidP="00E9081E">
      <w:pPr>
        <w:pStyle w:val="ListParagraph"/>
        <w:numPr>
          <w:ilvl w:val="0"/>
          <w:numId w:val="1"/>
        </w:numPr>
        <w:spacing w:after="0"/>
      </w:pPr>
      <w:r w:rsidRPr="003110FB">
        <w:t>Was there dissent in the group regarding this recommendation?  If yes, please provide a summary of the dissenting opinion regarding t</w:t>
      </w:r>
      <w:r w:rsidR="00261B3E">
        <w:t>he recommendation.</w:t>
      </w:r>
    </w:p>
    <w:p w14:paraId="695679BB" w14:textId="77777777" w:rsidR="00E9081E" w:rsidRDefault="00E9081E" w:rsidP="00E9081E">
      <w:pPr>
        <w:spacing w:after="0"/>
      </w:pPr>
    </w:p>
    <w:p w14:paraId="6689526A" w14:textId="3D2BA8E4" w:rsidR="00D628BC" w:rsidRPr="00D628BC" w:rsidRDefault="00D628BC" w:rsidP="00D628BC">
      <w:pPr>
        <w:spacing w:after="0"/>
        <w:ind w:left="720"/>
        <w:rPr>
          <w:i/>
          <w:color w:val="2E74B5" w:themeColor="accent1" w:themeShade="BF"/>
        </w:rPr>
      </w:pPr>
      <w:r w:rsidRPr="00D628BC">
        <w:rPr>
          <w:i/>
          <w:color w:val="2E74B5" w:themeColor="accent1" w:themeShade="BF"/>
        </w:rPr>
        <w:t>Not known.</w:t>
      </w:r>
    </w:p>
    <w:p w14:paraId="3588FBE3" w14:textId="77777777" w:rsidR="00E9081E" w:rsidRPr="003110FB" w:rsidRDefault="00E9081E" w:rsidP="00E9081E">
      <w:pPr>
        <w:spacing w:after="0"/>
      </w:pPr>
    </w:p>
    <w:p w14:paraId="6333FE17" w14:textId="77777777" w:rsidR="00E9081E" w:rsidRPr="003110FB"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60C3D0D0" w14:textId="77777777" w:rsidR="00D628BC" w:rsidRDefault="00D628BC" w:rsidP="00261B3E">
      <w:pPr>
        <w:pStyle w:val="ListParagraph"/>
        <w:spacing w:after="0"/>
        <w:rPr>
          <w:color w:val="2E74B5" w:themeColor="accent1" w:themeShade="BF"/>
        </w:rPr>
      </w:pPr>
    </w:p>
    <w:p w14:paraId="28E19D50" w14:textId="09284B7D" w:rsidR="00E9081E" w:rsidRPr="00D628BC" w:rsidRDefault="00261B3E" w:rsidP="00261B3E">
      <w:pPr>
        <w:pStyle w:val="ListParagraph"/>
        <w:spacing w:after="0"/>
        <w:rPr>
          <w:i/>
          <w:color w:val="2E74B5" w:themeColor="accent1" w:themeShade="BF"/>
        </w:rPr>
      </w:pPr>
      <w:r w:rsidRPr="00D628BC">
        <w:rPr>
          <w:i/>
          <w:color w:val="2E74B5" w:themeColor="accent1" w:themeShade="BF"/>
        </w:rPr>
        <w:t>Department of Taxation policy for granting marijuana establishments should be addressed.</w:t>
      </w:r>
    </w:p>
    <w:p w14:paraId="6E62C578" w14:textId="77777777" w:rsidR="00E9081E" w:rsidRPr="003110FB" w:rsidRDefault="00E9081E" w:rsidP="00261B3E">
      <w:pPr>
        <w:spacing w:after="0"/>
      </w:pPr>
    </w:p>
    <w:p w14:paraId="1EC95596" w14:textId="7858F08D" w:rsidR="00DD1A10" w:rsidRPr="003110FB" w:rsidRDefault="00CC30A8" w:rsidP="007A4A8C">
      <w:pPr>
        <w:pStyle w:val="ListParagraph"/>
        <w:numPr>
          <w:ilvl w:val="0"/>
          <w:numId w:val="1"/>
        </w:numPr>
        <w:spacing w:after="0"/>
      </w:pPr>
      <w:r w:rsidRPr="003110FB">
        <w:t xml:space="preserve">Additional information (cost of implementation, priority according to the recommendations, </w:t>
      </w:r>
      <w:proofErr w:type="spellStart"/>
      <w:r w:rsidRPr="003110FB">
        <w:t>etc</w:t>
      </w:r>
      <w:proofErr w:type="spellEnd"/>
      <w:r w:rsidRPr="003110FB">
        <w:t>)</w:t>
      </w:r>
      <w:r w:rsidR="00B70E4E" w:rsidRPr="003110FB">
        <w:t>.</w:t>
      </w:r>
    </w:p>
    <w:p w14:paraId="6BBB2368" w14:textId="77777777" w:rsidR="00753FA6" w:rsidRDefault="00753FA6" w:rsidP="007A4A8C">
      <w:pPr>
        <w:spacing w:after="0"/>
      </w:pPr>
    </w:p>
    <w:p w14:paraId="3F53283F" w14:textId="77777777" w:rsidR="00D628BC" w:rsidRPr="00D628BC" w:rsidRDefault="00D628BC" w:rsidP="00D628BC">
      <w:pPr>
        <w:spacing w:after="0"/>
        <w:ind w:left="720"/>
        <w:rPr>
          <w:i/>
          <w:color w:val="2E74B5" w:themeColor="accent1" w:themeShade="BF"/>
        </w:rPr>
      </w:pPr>
      <w:r w:rsidRPr="00D628BC">
        <w:rPr>
          <w:i/>
          <w:color w:val="2E74B5" w:themeColor="accent1" w:themeShade="BF"/>
        </w:rPr>
        <w:t>Not known.</w:t>
      </w:r>
    </w:p>
    <w:p w14:paraId="071157DF" w14:textId="77777777" w:rsidR="00CC30A8" w:rsidRDefault="00CC30A8" w:rsidP="007A4A8C">
      <w:pPr>
        <w:spacing w:after="0"/>
      </w:pPr>
    </w:p>
    <w:p w14:paraId="106D93B9" w14:textId="77777777" w:rsidR="00124392" w:rsidRDefault="00124392" w:rsidP="007A4A8C">
      <w:pPr>
        <w:spacing w:after="0"/>
      </w:pPr>
    </w:p>
    <w:p w14:paraId="56C8C838" w14:textId="77777777" w:rsidR="00124392" w:rsidRDefault="00124392" w:rsidP="007A4A8C">
      <w:pPr>
        <w:spacing w:after="0"/>
      </w:pPr>
    </w:p>
    <w:p w14:paraId="6FB5E608" w14:textId="77777777" w:rsidR="00124392" w:rsidRDefault="00124392" w:rsidP="007A4A8C">
      <w:pPr>
        <w:spacing w:after="0"/>
      </w:pPr>
    </w:p>
    <w:p w14:paraId="3046AB02" w14:textId="77777777" w:rsidR="00124392" w:rsidRDefault="00124392" w:rsidP="007A4A8C">
      <w:pPr>
        <w:spacing w:after="0"/>
      </w:pPr>
    </w:p>
    <w:p w14:paraId="221B26FF" w14:textId="77777777" w:rsidR="00124392" w:rsidRDefault="00124392" w:rsidP="007A4A8C">
      <w:pPr>
        <w:spacing w:after="0"/>
      </w:pPr>
    </w:p>
    <w:p w14:paraId="06B3D21E" w14:textId="77777777" w:rsidR="00124392" w:rsidRDefault="00124392" w:rsidP="007A4A8C">
      <w:pPr>
        <w:spacing w:after="0"/>
      </w:pPr>
    </w:p>
    <w:p w14:paraId="3B907555" w14:textId="77777777" w:rsidR="00124392" w:rsidRDefault="00124392" w:rsidP="007A4A8C">
      <w:pPr>
        <w:spacing w:after="0"/>
      </w:pPr>
    </w:p>
    <w:p w14:paraId="2FF20CB4" w14:textId="77777777" w:rsidR="00124392" w:rsidRDefault="00124392" w:rsidP="007A4A8C">
      <w:pPr>
        <w:spacing w:after="0"/>
      </w:pPr>
    </w:p>
    <w:p w14:paraId="73DE3286" w14:textId="77777777" w:rsidR="00124392" w:rsidRDefault="00124392" w:rsidP="007A4A8C">
      <w:pPr>
        <w:spacing w:after="0"/>
      </w:pPr>
    </w:p>
    <w:p w14:paraId="2E45366B" w14:textId="77777777" w:rsidR="00124392" w:rsidRDefault="00124392" w:rsidP="007A4A8C">
      <w:pPr>
        <w:spacing w:after="0"/>
      </w:pPr>
    </w:p>
    <w:p w14:paraId="3045648A" w14:textId="77777777" w:rsidR="00124392" w:rsidRDefault="00124392" w:rsidP="007A4A8C">
      <w:pPr>
        <w:spacing w:after="0"/>
      </w:pPr>
    </w:p>
    <w:p w14:paraId="712EC86A" w14:textId="77777777" w:rsidR="00124392" w:rsidRDefault="00124392" w:rsidP="007A4A8C">
      <w:pPr>
        <w:spacing w:after="0"/>
      </w:pPr>
    </w:p>
    <w:p w14:paraId="2ACB72E2" w14:textId="77777777" w:rsidR="00124392" w:rsidRDefault="00124392" w:rsidP="007A4A8C">
      <w:pPr>
        <w:spacing w:after="0"/>
      </w:pPr>
    </w:p>
    <w:p w14:paraId="5A0322FD" w14:textId="77777777" w:rsidR="00124392" w:rsidRDefault="00124392" w:rsidP="007A4A8C">
      <w:pPr>
        <w:spacing w:after="0"/>
      </w:pPr>
    </w:p>
    <w:p w14:paraId="45622A69" w14:textId="77777777" w:rsidR="00124392" w:rsidRDefault="00124392" w:rsidP="007A4A8C">
      <w:pPr>
        <w:spacing w:after="0"/>
      </w:pPr>
    </w:p>
    <w:p w14:paraId="6201EA90" w14:textId="77777777" w:rsidR="00124392" w:rsidRDefault="00124392" w:rsidP="007A4A8C">
      <w:pPr>
        <w:spacing w:after="0"/>
      </w:pPr>
    </w:p>
    <w:p w14:paraId="7E909024" w14:textId="77777777" w:rsidR="00124392" w:rsidRDefault="00124392" w:rsidP="007A4A8C">
      <w:pPr>
        <w:spacing w:after="0"/>
      </w:pPr>
    </w:p>
    <w:p w14:paraId="0AF6C29F" w14:textId="77777777" w:rsidR="00124392" w:rsidRDefault="00124392" w:rsidP="007A4A8C">
      <w:pPr>
        <w:spacing w:after="0"/>
      </w:pPr>
    </w:p>
    <w:p w14:paraId="379505E2" w14:textId="77777777" w:rsidR="00124392" w:rsidRDefault="00124392" w:rsidP="007A4A8C">
      <w:pPr>
        <w:spacing w:after="0"/>
      </w:pPr>
    </w:p>
    <w:p w14:paraId="6B0F8AD0" w14:textId="77777777" w:rsidR="00124392" w:rsidRDefault="00124392" w:rsidP="007A4A8C">
      <w:pPr>
        <w:spacing w:after="0"/>
      </w:pPr>
    </w:p>
    <w:p w14:paraId="4E4D33FD" w14:textId="77777777" w:rsidR="00124392" w:rsidRDefault="00124392" w:rsidP="007A4A8C">
      <w:pPr>
        <w:spacing w:after="0"/>
      </w:pPr>
    </w:p>
    <w:p w14:paraId="02D05671" w14:textId="77777777" w:rsidR="00124392" w:rsidRPr="003110FB" w:rsidRDefault="00124392" w:rsidP="007A4A8C">
      <w:pPr>
        <w:spacing w:after="0"/>
      </w:pPr>
    </w:p>
    <w:p w14:paraId="054A4F76" w14:textId="532EA177" w:rsidR="00753FA6" w:rsidRDefault="00753FA6" w:rsidP="009201F4">
      <w:pPr>
        <w:spacing w:after="0"/>
        <w:ind w:left="810" w:hanging="90"/>
        <w:rPr>
          <w:b/>
          <w:sz w:val="18"/>
          <w:szCs w:val="18"/>
        </w:rPr>
      </w:pPr>
    </w:p>
    <w:p w14:paraId="04150C5D" w14:textId="77777777" w:rsidR="00124392" w:rsidRDefault="00124392" w:rsidP="00124392">
      <w:pPr>
        <w:jc w:val="center"/>
        <w:rPr>
          <w:b/>
          <w:sz w:val="28"/>
          <w:szCs w:val="28"/>
        </w:rPr>
      </w:pPr>
      <w:r>
        <w:rPr>
          <w:b/>
          <w:sz w:val="28"/>
          <w:szCs w:val="28"/>
        </w:rPr>
        <w:lastRenderedPageBreak/>
        <w:t>Supply Analysis for Nevada Medical Marijuana Program</w:t>
      </w:r>
    </w:p>
    <w:p w14:paraId="5588B856" w14:textId="091CA6D2" w:rsidR="00E65862" w:rsidRPr="00E65862" w:rsidRDefault="00E65862" w:rsidP="00E65862">
      <w:pPr>
        <w:ind w:firstLine="720"/>
        <w:rPr>
          <w:b/>
          <w:color w:val="FF0000"/>
          <w:sz w:val="28"/>
          <w:szCs w:val="28"/>
        </w:rPr>
      </w:pPr>
      <w:r w:rsidRPr="00E65862">
        <w:rPr>
          <w:b/>
          <w:color w:val="FF0000"/>
          <w:sz w:val="28"/>
          <w:szCs w:val="28"/>
        </w:rPr>
        <w:t>Cultivation</w:t>
      </w:r>
      <w:r w:rsidR="00A15CFC">
        <w:rPr>
          <w:b/>
          <w:color w:val="FF0000"/>
          <w:sz w:val="28"/>
          <w:szCs w:val="28"/>
        </w:rPr>
        <w:t xml:space="preserve"> Supply</w:t>
      </w:r>
      <w:r w:rsidRPr="00E65862">
        <w:rPr>
          <w:b/>
          <w:color w:val="FF0000"/>
          <w:sz w:val="28"/>
          <w:szCs w:val="28"/>
        </w:rPr>
        <w:t xml:space="preserve"> Data and Assumptions</w:t>
      </w:r>
    </w:p>
    <w:p w14:paraId="3687F299" w14:textId="1395AFF8" w:rsidR="00124392" w:rsidRDefault="00124392" w:rsidP="00124392">
      <w:pPr>
        <w:jc w:val="center"/>
      </w:pPr>
      <w:r>
        <w:rPr>
          <w:noProof/>
        </w:rPr>
        <w:drawing>
          <wp:inline distT="0" distB="0" distL="0" distR="0" wp14:anchorId="6085B246" wp14:editId="4CD7F318">
            <wp:extent cx="4770755" cy="317055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C94B843" w14:textId="35714E15" w:rsidR="00124392" w:rsidRPr="00DB7A5F" w:rsidRDefault="00DB7A5F" w:rsidP="00124392">
      <w:pPr>
        <w:rPr>
          <w:color w:val="FF0000"/>
        </w:rPr>
      </w:pPr>
      <w:r>
        <w:tab/>
      </w:r>
      <w:r w:rsidRPr="00DB7A5F">
        <w:rPr>
          <w:color w:val="FF0000"/>
        </w:rPr>
        <w:t>Figure 1: Total cultivation square footage breakdown of 65 of 87 currently open establishments</w:t>
      </w:r>
    </w:p>
    <w:p w14:paraId="1872B4DF" w14:textId="741C4794" w:rsidR="00124392" w:rsidRDefault="00DB7A5F" w:rsidP="00124392">
      <w:pPr>
        <w:ind w:left="720"/>
        <w:jc w:val="both"/>
        <w:rPr>
          <w:i/>
          <w:color w:val="2E74B5" w:themeColor="accent1" w:themeShade="BF"/>
        </w:rPr>
      </w:pPr>
      <w:r>
        <w:rPr>
          <w:i/>
          <w:color w:val="FF0000"/>
        </w:rPr>
        <w:t>The</w:t>
      </w:r>
      <w:r>
        <w:rPr>
          <w:i/>
          <w:color w:val="2E74B5" w:themeColor="accent1" w:themeShade="BF"/>
        </w:rPr>
        <w:t xml:space="preserve"> a</w:t>
      </w:r>
      <w:r w:rsidR="00124392" w:rsidRPr="00124392">
        <w:rPr>
          <w:i/>
          <w:color w:val="2E74B5" w:themeColor="accent1" w:themeShade="BF"/>
        </w:rPr>
        <w:t>verage Square footage of Nevada Medi</w:t>
      </w:r>
      <w:r>
        <w:rPr>
          <w:i/>
          <w:color w:val="2E74B5" w:themeColor="accent1" w:themeShade="BF"/>
        </w:rPr>
        <w:t xml:space="preserve">cal Marijuana Establishments </w:t>
      </w:r>
      <w:r w:rsidRPr="00DB7A5F">
        <w:rPr>
          <w:i/>
          <w:color w:val="FF0000"/>
        </w:rPr>
        <w:t>was found to be</w:t>
      </w:r>
      <w:r w:rsidR="00124392" w:rsidRPr="00124392">
        <w:rPr>
          <w:i/>
          <w:color w:val="2E74B5" w:themeColor="accent1" w:themeShade="BF"/>
        </w:rPr>
        <w:t xml:space="preserve"> 26,000 square feet, with data from 65 facilities</w:t>
      </w:r>
      <w:r w:rsidRPr="00DB7A5F">
        <w:rPr>
          <w:i/>
          <w:color w:val="FF0000"/>
        </w:rPr>
        <w:t>, as shown in figure 1</w:t>
      </w:r>
      <w:r w:rsidR="00124392" w:rsidRPr="00124392">
        <w:rPr>
          <w:i/>
          <w:color w:val="2E74B5" w:themeColor="accent1" w:themeShade="BF"/>
        </w:rPr>
        <w:t xml:space="preserve">.  There are three facilities with square footage over 100,000 square feet, five facilities between 50,000-99,999 square feet, and eight facilities with square footage ranging from 30,000-49,999.  The majority of facilities are in the range of 29,999 square feet or less.  With 30 facilities ranging from 10,000-29,000 and 19 facilities under 10,000 square feet.  These figures are the total square footage for the building footprint, not the actual grow room space.  </w:t>
      </w:r>
    </w:p>
    <w:p w14:paraId="26E3D3A4" w14:textId="132E322C" w:rsidR="0049632A" w:rsidRDefault="0049632A" w:rsidP="00124392">
      <w:pPr>
        <w:ind w:left="720"/>
        <w:jc w:val="both"/>
        <w:rPr>
          <w:i/>
          <w:color w:val="FF0000"/>
        </w:rPr>
      </w:pPr>
      <w:r>
        <w:rPr>
          <w:i/>
          <w:color w:val="FF0000"/>
        </w:rPr>
        <w:t>Figure 2, breaks out the total and predicted Nevada combined cultivation facility footprint, based on the average facility size of 26,000 square feet.  Assuming that all the provisional licenses will fall within the same average</w:t>
      </w:r>
      <w:r w:rsidR="006A0990">
        <w:rPr>
          <w:i/>
          <w:color w:val="FF0000"/>
        </w:rPr>
        <w:t xml:space="preserve"> facility square footage</w:t>
      </w:r>
      <w:r w:rsidR="00E03F72">
        <w:rPr>
          <w:i/>
          <w:color w:val="FF0000"/>
        </w:rPr>
        <w:t xml:space="preserve">, the current 87 licenses and 91 provisional licenses will hold approximately 4,628,000 square feet when completely built out.  </w:t>
      </w:r>
    </w:p>
    <w:p w14:paraId="2EA7484C" w14:textId="6506C39F" w:rsidR="006A0990" w:rsidRDefault="006A0990" w:rsidP="00124392">
      <w:pPr>
        <w:ind w:left="720"/>
        <w:jc w:val="both"/>
        <w:rPr>
          <w:i/>
          <w:color w:val="FF0000"/>
        </w:rPr>
      </w:pPr>
      <w:r>
        <w:rPr>
          <w:i/>
          <w:color w:val="FF0000"/>
        </w:rPr>
        <w:t>While these numbers depicts the total cultivations square footage, they lack a correlation to how much of the cultivation facility will be dedicated to actual cultivation of marijuana.  Marijuana yield from a cultivation facility is commonly estimated based on the total square footage of the cultivation dedicated specifically to flowering (the part of the cycle that yields the marijuana flowers or buds).</w:t>
      </w:r>
    </w:p>
    <w:p w14:paraId="164F8961" w14:textId="51AB0543" w:rsidR="0049632A" w:rsidRDefault="006A0990" w:rsidP="000C2BC4">
      <w:pPr>
        <w:ind w:left="720"/>
        <w:jc w:val="both"/>
        <w:rPr>
          <w:i/>
          <w:color w:val="FF0000"/>
        </w:rPr>
      </w:pPr>
      <w:r>
        <w:rPr>
          <w:i/>
          <w:color w:val="FF0000"/>
        </w:rPr>
        <w:t xml:space="preserve"> </w:t>
      </w:r>
    </w:p>
    <w:p w14:paraId="0456168C" w14:textId="0BF614A5" w:rsidR="0049632A" w:rsidRDefault="0049632A" w:rsidP="00124392">
      <w:pPr>
        <w:ind w:left="720"/>
        <w:jc w:val="both"/>
        <w:rPr>
          <w:i/>
          <w:color w:val="FF0000"/>
        </w:rPr>
      </w:pPr>
      <w:r>
        <w:rPr>
          <w:i/>
          <w:noProof/>
          <w:color w:val="FF0000"/>
        </w:rPr>
        <w:lastRenderedPageBreak/>
        <w:drawing>
          <wp:inline distT="0" distB="0" distL="0" distR="0" wp14:anchorId="4CE5BC27" wp14:editId="05416C00">
            <wp:extent cx="5143500" cy="309972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3099725"/>
                    </a:xfrm>
                    <a:prstGeom prst="rect">
                      <a:avLst/>
                    </a:prstGeom>
                    <a:noFill/>
                    <a:ln>
                      <a:noFill/>
                    </a:ln>
                  </pic:spPr>
                </pic:pic>
              </a:graphicData>
            </a:graphic>
          </wp:inline>
        </w:drawing>
      </w:r>
    </w:p>
    <w:p w14:paraId="1C4F07EA" w14:textId="59D3D6DB" w:rsidR="00E03F72" w:rsidRDefault="0049632A" w:rsidP="00925B29">
      <w:pPr>
        <w:ind w:left="720"/>
        <w:jc w:val="both"/>
        <w:rPr>
          <w:i/>
          <w:color w:val="FF0000"/>
        </w:rPr>
      </w:pPr>
      <w:r>
        <w:rPr>
          <w:i/>
          <w:color w:val="FF0000"/>
        </w:rPr>
        <w:t>Figure 2: Breakdown of current and predicted total cultivation facility square footage based on average facility square footage of 26,000 ft</w:t>
      </w:r>
      <w:r>
        <w:rPr>
          <w:i/>
          <w:color w:val="FF0000"/>
          <w:vertAlign w:val="superscript"/>
        </w:rPr>
        <w:t>2</w:t>
      </w:r>
      <w:r>
        <w:rPr>
          <w:i/>
          <w:color w:val="FF0000"/>
        </w:rPr>
        <w:t>/facility</w:t>
      </w:r>
    </w:p>
    <w:p w14:paraId="79EDF1AC" w14:textId="77777777" w:rsidR="00E65862" w:rsidRPr="00925B29" w:rsidRDefault="00E65862" w:rsidP="00925B29">
      <w:pPr>
        <w:ind w:left="720"/>
        <w:jc w:val="both"/>
        <w:rPr>
          <w:i/>
          <w:color w:val="FF0000"/>
        </w:rPr>
      </w:pPr>
    </w:p>
    <w:p w14:paraId="2530830F" w14:textId="5F123DA5" w:rsidR="00925B29" w:rsidRDefault="000C2BC4" w:rsidP="00925B29">
      <w:pPr>
        <w:ind w:left="720"/>
        <w:jc w:val="both"/>
        <w:rPr>
          <w:i/>
          <w:color w:val="2E74B5" w:themeColor="accent1" w:themeShade="BF"/>
        </w:rPr>
      </w:pPr>
      <w:r>
        <w:rPr>
          <w:noProof/>
        </w:rPr>
        <w:drawing>
          <wp:inline distT="0" distB="0" distL="0" distR="0" wp14:anchorId="1E576D56" wp14:editId="68D33C35">
            <wp:extent cx="4343400" cy="1098933"/>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a:stretch>
                      <a:fillRect/>
                    </a:stretch>
                  </pic:blipFill>
                  <pic:spPr>
                    <a:xfrm>
                      <a:off x="0" y="0"/>
                      <a:ext cx="4345815" cy="1099544"/>
                    </a:xfrm>
                    <a:prstGeom prst="rect">
                      <a:avLst/>
                    </a:prstGeom>
                  </pic:spPr>
                </pic:pic>
              </a:graphicData>
            </a:graphic>
          </wp:inline>
        </w:drawing>
      </w:r>
    </w:p>
    <w:p w14:paraId="66CAAA63" w14:textId="77777777" w:rsidR="00E65862" w:rsidRDefault="00E65862" w:rsidP="00925B29">
      <w:pPr>
        <w:ind w:left="720"/>
        <w:jc w:val="both"/>
        <w:rPr>
          <w:i/>
          <w:color w:val="FF0000"/>
        </w:rPr>
      </w:pPr>
    </w:p>
    <w:p w14:paraId="29CD9927" w14:textId="77777777" w:rsidR="00E65862" w:rsidRDefault="00925B29" w:rsidP="00925B29">
      <w:pPr>
        <w:ind w:left="720"/>
        <w:jc w:val="both"/>
        <w:rPr>
          <w:i/>
          <w:color w:val="FF0000"/>
        </w:rPr>
      </w:pPr>
      <w:r>
        <w:rPr>
          <w:i/>
          <w:color w:val="FF0000"/>
        </w:rPr>
        <w:t xml:space="preserve">Table 1 shows two ranges for approximation of flowering space within a cultivation facility.  The low end of 20% was a conservative estimate, however it was also projected that most cultivations would dedicate at least 65% of their facility to cultivating marijuana, with &gt;85% of this allotment going solely to flowering rooms.  This results in a normal estimate that a cultivation facility will dedicate 55% of their facility square footage to flowering.  Table 1 also estimates annual yield based on square footage of flowering space, assuming a low yield and high yield potential.  The yield, </w:t>
      </w:r>
      <w:proofErr w:type="spellStart"/>
      <w:r>
        <w:rPr>
          <w:i/>
          <w:color w:val="FF0000"/>
        </w:rPr>
        <w:t>lb</w:t>
      </w:r>
      <w:proofErr w:type="spellEnd"/>
      <w:r>
        <w:rPr>
          <w:i/>
          <w:color w:val="FF0000"/>
        </w:rPr>
        <w:t>/square footage was based off of cultivators stated yields.</w:t>
      </w:r>
      <w:r w:rsidR="00E65862">
        <w:rPr>
          <w:i/>
          <w:color w:val="FF0000"/>
        </w:rPr>
        <w:t xml:space="preserve">  </w:t>
      </w:r>
    </w:p>
    <w:p w14:paraId="3FBB1C6E" w14:textId="25CAE94B" w:rsidR="00925B29" w:rsidRDefault="00E65862" w:rsidP="00925B29">
      <w:pPr>
        <w:ind w:left="720"/>
        <w:jc w:val="both"/>
        <w:rPr>
          <w:i/>
          <w:color w:val="FF0000"/>
        </w:rPr>
      </w:pPr>
      <w:r>
        <w:rPr>
          <w:i/>
          <w:color w:val="FF0000"/>
        </w:rPr>
        <w:t xml:space="preserve">Using these assumptions, Table 2 details a range of harvest potential assuming both low and high end cultivation flowering space, and low and high yield assumptions.  This creates a range of harvest yield for an average cultivation facility to be within approx. 520 – 2500 </w:t>
      </w:r>
      <w:proofErr w:type="spellStart"/>
      <w:r>
        <w:rPr>
          <w:i/>
          <w:color w:val="FF0000"/>
        </w:rPr>
        <w:t>lbs</w:t>
      </w:r>
      <w:proofErr w:type="spellEnd"/>
      <w:r>
        <w:rPr>
          <w:i/>
          <w:color w:val="FF0000"/>
        </w:rPr>
        <w:t xml:space="preserve"> per facility depending on the scenario </w:t>
      </w:r>
      <w:r w:rsidR="0058744A">
        <w:rPr>
          <w:i/>
          <w:color w:val="FF0000"/>
        </w:rPr>
        <w:t>chosen</w:t>
      </w:r>
      <w:r>
        <w:rPr>
          <w:i/>
          <w:color w:val="FF0000"/>
        </w:rPr>
        <w:t>.</w:t>
      </w:r>
    </w:p>
    <w:p w14:paraId="77613211" w14:textId="77777777" w:rsidR="00E65862" w:rsidRPr="00925B29" w:rsidRDefault="00E65862" w:rsidP="00925B29">
      <w:pPr>
        <w:ind w:left="720"/>
        <w:jc w:val="both"/>
        <w:rPr>
          <w:i/>
          <w:color w:val="FF0000"/>
        </w:rPr>
      </w:pPr>
    </w:p>
    <w:p w14:paraId="6E7291F6" w14:textId="72729815" w:rsidR="000C2BC4" w:rsidRDefault="00925B29" w:rsidP="00124392">
      <w:pPr>
        <w:ind w:left="720"/>
        <w:jc w:val="both"/>
        <w:rPr>
          <w:i/>
          <w:color w:val="FF0000"/>
        </w:rPr>
      </w:pPr>
      <w:r>
        <w:rPr>
          <w:noProof/>
        </w:rPr>
        <w:lastRenderedPageBreak/>
        <w:drawing>
          <wp:inline distT="0" distB="0" distL="0" distR="0" wp14:anchorId="31415DFB" wp14:editId="33BF45DE">
            <wp:extent cx="5486400" cy="1050925"/>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1"/>
                    <a:stretch>
                      <a:fillRect/>
                    </a:stretch>
                  </pic:blipFill>
                  <pic:spPr>
                    <a:xfrm>
                      <a:off x="0" y="0"/>
                      <a:ext cx="5486400" cy="1050925"/>
                    </a:xfrm>
                    <a:prstGeom prst="rect">
                      <a:avLst/>
                    </a:prstGeom>
                  </pic:spPr>
                </pic:pic>
              </a:graphicData>
            </a:graphic>
          </wp:inline>
        </w:drawing>
      </w:r>
    </w:p>
    <w:p w14:paraId="25199ED4" w14:textId="77777777" w:rsidR="0058744A" w:rsidRDefault="0058744A" w:rsidP="00124392">
      <w:pPr>
        <w:ind w:left="720"/>
        <w:jc w:val="both"/>
        <w:rPr>
          <w:i/>
          <w:color w:val="FF0000"/>
        </w:rPr>
      </w:pPr>
    </w:p>
    <w:p w14:paraId="62EF0022" w14:textId="2B38829C" w:rsidR="0058744A" w:rsidRPr="000C2BC4" w:rsidRDefault="005B7FB5" w:rsidP="00124392">
      <w:pPr>
        <w:ind w:left="720"/>
        <w:jc w:val="both"/>
        <w:rPr>
          <w:i/>
          <w:color w:val="FF0000"/>
        </w:rPr>
      </w:pPr>
      <w:r>
        <w:rPr>
          <w:i/>
          <w:color w:val="FF0000"/>
        </w:rPr>
        <w:t>The yield results in Table 2 were applied to the total operating and provisional licenses to project total marijuana yield as shown in Figure 3.  Based on the current and pending cultivation capacity, it is estimated that the total state product</w:t>
      </w:r>
      <w:r w:rsidR="00A15CFC">
        <w:rPr>
          <w:i/>
          <w:color w:val="FF0000"/>
        </w:rPr>
        <w:t>ion</w:t>
      </w:r>
      <w:r>
        <w:rPr>
          <w:i/>
          <w:color w:val="FF0000"/>
        </w:rPr>
        <w:t xml:space="preserve"> of marijuana flower will yield 45,000 – approx. 450,000 pounds per year.</w:t>
      </w:r>
    </w:p>
    <w:p w14:paraId="0F6CEF60" w14:textId="77777777" w:rsidR="00E65862" w:rsidRDefault="00E65862" w:rsidP="00124392">
      <w:pPr>
        <w:ind w:left="720"/>
        <w:jc w:val="both"/>
        <w:rPr>
          <w:i/>
          <w:color w:val="2E74B5" w:themeColor="accent1" w:themeShade="BF"/>
        </w:rPr>
      </w:pPr>
    </w:p>
    <w:p w14:paraId="7464A7A0" w14:textId="51645528" w:rsidR="0058744A" w:rsidRDefault="005B7FB5" w:rsidP="00124392">
      <w:pPr>
        <w:ind w:left="720"/>
        <w:jc w:val="both"/>
        <w:rPr>
          <w:i/>
          <w:color w:val="2E74B5" w:themeColor="accent1" w:themeShade="BF"/>
        </w:rPr>
      </w:pPr>
      <w:r>
        <w:rPr>
          <w:i/>
          <w:noProof/>
          <w:color w:val="2E74B5" w:themeColor="accent1" w:themeShade="BF"/>
        </w:rPr>
        <w:drawing>
          <wp:inline distT="0" distB="0" distL="0" distR="0" wp14:anchorId="65363D48" wp14:editId="0667A652">
            <wp:extent cx="5147945" cy="3149600"/>
            <wp:effectExtent l="0" t="0" r="8255"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7945" cy="3149600"/>
                    </a:xfrm>
                    <a:prstGeom prst="rect">
                      <a:avLst/>
                    </a:prstGeom>
                    <a:noFill/>
                    <a:ln>
                      <a:noFill/>
                    </a:ln>
                  </pic:spPr>
                </pic:pic>
              </a:graphicData>
            </a:graphic>
          </wp:inline>
        </w:drawing>
      </w:r>
    </w:p>
    <w:p w14:paraId="28BE94BD" w14:textId="30F5BD1B" w:rsidR="00E65862" w:rsidRDefault="005B7FB5" w:rsidP="00124392">
      <w:pPr>
        <w:ind w:left="720"/>
        <w:jc w:val="both"/>
        <w:rPr>
          <w:i/>
          <w:color w:val="FF0000"/>
        </w:rPr>
      </w:pPr>
      <w:r w:rsidRPr="005B7FB5">
        <w:rPr>
          <w:i/>
          <w:color w:val="FF0000"/>
        </w:rPr>
        <w:t>Figure 3: The projected annual marijuana harvest in Nevada based on assumptions made in table 1 and table 2 and assuming average facility footprint of 26,000 space (total building space)</w:t>
      </w:r>
    </w:p>
    <w:p w14:paraId="5E6493D1" w14:textId="77777777" w:rsidR="005B7FB5" w:rsidRDefault="005B7FB5" w:rsidP="00124392">
      <w:pPr>
        <w:ind w:left="720"/>
        <w:jc w:val="both"/>
        <w:rPr>
          <w:i/>
          <w:color w:val="FF0000"/>
        </w:rPr>
      </w:pPr>
    </w:p>
    <w:p w14:paraId="53879F0D" w14:textId="77777777" w:rsidR="005B7FB5" w:rsidRDefault="005B7FB5" w:rsidP="00124392">
      <w:pPr>
        <w:ind w:left="720"/>
        <w:jc w:val="both"/>
        <w:rPr>
          <w:i/>
          <w:color w:val="FF0000"/>
        </w:rPr>
      </w:pPr>
    </w:p>
    <w:p w14:paraId="14EDA5AB" w14:textId="77777777" w:rsidR="005B7FB5" w:rsidRDefault="005B7FB5" w:rsidP="00124392">
      <w:pPr>
        <w:ind w:left="720"/>
        <w:jc w:val="both"/>
        <w:rPr>
          <w:i/>
          <w:color w:val="FF0000"/>
        </w:rPr>
      </w:pPr>
    </w:p>
    <w:p w14:paraId="7BF952D4" w14:textId="77777777" w:rsidR="005B7FB5" w:rsidRDefault="005B7FB5" w:rsidP="00124392">
      <w:pPr>
        <w:ind w:left="720"/>
        <w:jc w:val="both"/>
        <w:rPr>
          <w:i/>
          <w:color w:val="FF0000"/>
        </w:rPr>
      </w:pPr>
    </w:p>
    <w:p w14:paraId="26EB9AAF" w14:textId="77777777" w:rsidR="005B7FB5" w:rsidRDefault="005B7FB5" w:rsidP="00124392">
      <w:pPr>
        <w:ind w:left="720"/>
        <w:jc w:val="both"/>
        <w:rPr>
          <w:i/>
          <w:color w:val="FF0000"/>
        </w:rPr>
      </w:pPr>
    </w:p>
    <w:p w14:paraId="3799F53B" w14:textId="77777777" w:rsidR="005B7FB5" w:rsidRDefault="005B7FB5" w:rsidP="00124392">
      <w:pPr>
        <w:ind w:left="720"/>
        <w:jc w:val="both"/>
        <w:rPr>
          <w:i/>
          <w:color w:val="FF0000"/>
        </w:rPr>
      </w:pPr>
    </w:p>
    <w:p w14:paraId="2861A11E" w14:textId="77777777" w:rsidR="005B7FB5" w:rsidRDefault="005B7FB5" w:rsidP="00124392">
      <w:pPr>
        <w:ind w:left="720"/>
        <w:jc w:val="both"/>
        <w:rPr>
          <w:i/>
          <w:color w:val="FF0000"/>
        </w:rPr>
      </w:pPr>
    </w:p>
    <w:p w14:paraId="446EB6B8" w14:textId="37CAA889" w:rsidR="005B7FB5" w:rsidRDefault="005B7FB5" w:rsidP="00124392">
      <w:pPr>
        <w:ind w:left="720"/>
        <w:jc w:val="both"/>
        <w:rPr>
          <w:i/>
          <w:color w:val="FF0000"/>
        </w:rPr>
      </w:pPr>
      <w:r>
        <w:rPr>
          <w:i/>
          <w:color w:val="FF0000"/>
        </w:rPr>
        <w:lastRenderedPageBreak/>
        <w:t>Nevada Consumer Market Analysis</w:t>
      </w:r>
    </w:p>
    <w:p w14:paraId="66647ADF" w14:textId="44BF435A" w:rsidR="005B7FB5" w:rsidRDefault="00F45969" w:rsidP="00124392">
      <w:pPr>
        <w:ind w:left="720"/>
        <w:jc w:val="both"/>
        <w:rPr>
          <w:i/>
          <w:color w:val="FF0000"/>
        </w:rPr>
      </w:pPr>
      <w:r>
        <w:rPr>
          <w:i/>
          <w:color w:val="FF0000"/>
        </w:rPr>
        <w:t>It is extremely complicated to assess the market demand for recreational marijuana in Nevada.  There are multiple factors to assess, and this short analysis does not intend undertake this arduous task.  Colorado has been selling recreational and retail marijuana since 2014.  This program is</w:t>
      </w:r>
      <w:r w:rsidR="00A15CFC">
        <w:rPr>
          <w:i/>
          <w:color w:val="FF0000"/>
        </w:rPr>
        <w:t xml:space="preserve"> has been strictly monitored by the Colorado Marijuana Enforcement Division (MED).  The data taken to form this assessment</w:t>
      </w:r>
      <w:r w:rsidR="00DD31FD">
        <w:rPr>
          <w:i/>
          <w:color w:val="FF0000"/>
        </w:rPr>
        <w:t>, and which the following assumptions have</w:t>
      </w:r>
      <w:r w:rsidR="00A15CFC">
        <w:rPr>
          <w:i/>
          <w:color w:val="FF0000"/>
        </w:rPr>
        <w:t xml:space="preserve"> been</w:t>
      </w:r>
      <w:r w:rsidR="00DD31FD">
        <w:rPr>
          <w:i/>
          <w:color w:val="FF0000"/>
        </w:rPr>
        <w:t xml:space="preserve"> based on, has been</w:t>
      </w:r>
      <w:r w:rsidR="00A15CFC">
        <w:rPr>
          <w:i/>
          <w:color w:val="FF0000"/>
        </w:rPr>
        <w:t xml:space="preserve"> sourced primarily from </w:t>
      </w:r>
      <w:r w:rsidR="00DD31FD">
        <w:rPr>
          <w:i/>
          <w:color w:val="FF0000"/>
        </w:rPr>
        <w:t xml:space="preserve">the MED 2015 annual report.  </w:t>
      </w:r>
    </w:p>
    <w:p w14:paraId="18F41AA2" w14:textId="5DCD158B" w:rsidR="00DD31FD" w:rsidRDefault="00DD31FD" w:rsidP="00DD31FD">
      <w:pPr>
        <w:jc w:val="both"/>
        <w:rPr>
          <w:i/>
          <w:color w:val="FF0000"/>
        </w:rPr>
      </w:pPr>
      <w:r>
        <w:rPr>
          <w:i/>
          <w:color w:val="FF0000"/>
        </w:rPr>
        <w:tab/>
        <w:t>Colorado’s Market</w:t>
      </w:r>
      <w:r w:rsidR="00CB0777">
        <w:rPr>
          <w:i/>
          <w:color w:val="FF0000"/>
        </w:rPr>
        <w:t xml:space="preserve"> and</w:t>
      </w:r>
      <w:r>
        <w:rPr>
          <w:i/>
          <w:color w:val="FF0000"/>
        </w:rPr>
        <w:t xml:space="preserve"> demand is broken down below:</w:t>
      </w:r>
    </w:p>
    <w:p w14:paraId="77819328" w14:textId="3DAA39BC" w:rsidR="00DD31FD" w:rsidRDefault="00DD31FD" w:rsidP="00DD31FD">
      <w:pPr>
        <w:pStyle w:val="ListParagraph"/>
        <w:numPr>
          <w:ilvl w:val="0"/>
          <w:numId w:val="2"/>
        </w:numPr>
        <w:jc w:val="both"/>
        <w:rPr>
          <w:i/>
          <w:color w:val="FF0000"/>
        </w:rPr>
      </w:pPr>
      <w:r>
        <w:rPr>
          <w:i/>
          <w:color w:val="FF0000"/>
        </w:rPr>
        <w:t xml:space="preserve">In 2015, Colorado sold 251,472 </w:t>
      </w:r>
      <w:proofErr w:type="spellStart"/>
      <w:r>
        <w:rPr>
          <w:i/>
          <w:color w:val="FF0000"/>
        </w:rPr>
        <w:t>lbs</w:t>
      </w:r>
      <w:proofErr w:type="spellEnd"/>
      <w:r>
        <w:rPr>
          <w:i/>
          <w:color w:val="FF0000"/>
        </w:rPr>
        <w:t xml:space="preserve"> of marijuana to patients, residents and tourists</w:t>
      </w:r>
      <w:r w:rsidR="00CB0777">
        <w:rPr>
          <w:i/>
          <w:color w:val="FF0000"/>
          <w:vertAlign w:val="superscript"/>
        </w:rPr>
        <w:t>1</w:t>
      </w:r>
      <w:r>
        <w:rPr>
          <w:i/>
          <w:color w:val="FF0000"/>
        </w:rPr>
        <w:t>.</w:t>
      </w:r>
    </w:p>
    <w:p w14:paraId="022113BE" w14:textId="4746DC51" w:rsidR="00DD31FD" w:rsidRPr="00DD31FD" w:rsidRDefault="00DD31FD" w:rsidP="00DD31FD">
      <w:pPr>
        <w:pStyle w:val="ListParagraph"/>
        <w:numPr>
          <w:ilvl w:val="0"/>
          <w:numId w:val="2"/>
        </w:numPr>
        <w:jc w:val="both"/>
        <w:rPr>
          <w:i/>
          <w:color w:val="FF0000"/>
        </w:rPr>
      </w:pPr>
      <w:r>
        <w:rPr>
          <w:i/>
          <w:color w:val="FF0000"/>
        </w:rPr>
        <w:t>In 2015, Colorado had approximately 113,000 medical patients</w:t>
      </w:r>
      <w:r w:rsidR="00CB0777">
        <w:rPr>
          <w:i/>
          <w:color w:val="FF0000"/>
          <w:vertAlign w:val="superscript"/>
        </w:rPr>
        <w:t>2</w:t>
      </w:r>
      <w:r>
        <w:rPr>
          <w:i/>
          <w:color w:val="FF0000"/>
        </w:rPr>
        <w:t xml:space="preserve"> and approximately 77,100,000 tourism visitors</w:t>
      </w:r>
      <w:r w:rsidR="00CB0777">
        <w:rPr>
          <w:i/>
          <w:color w:val="FF0000"/>
          <w:vertAlign w:val="superscript"/>
        </w:rPr>
        <w:t>3</w:t>
      </w:r>
      <w:r>
        <w:rPr>
          <w:i/>
          <w:color w:val="FF0000"/>
        </w:rPr>
        <w:t>, and was measured of having 5,457,000 residents</w:t>
      </w:r>
      <w:r w:rsidR="00CB0777">
        <w:rPr>
          <w:i/>
          <w:color w:val="FF0000"/>
          <w:vertAlign w:val="superscript"/>
        </w:rPr>
        <w:t>4</w:t>
      </w:r>
    </w:p>
    <w:p w14:paraId="796850C9" w14:textId="3E9062AA" w:rsidR="00DD31FD" w:rsidRDefault="00DD31FD" w:rsidP="00DD31FD">
      <w:pPr>
        <w:pStyle w:val="ListParagraph"/>
        <w:numPr>
          <w:ilvl w:val="0"/>
          <w:numId w:val="2"/>
        </w:numPr>
        <w:jc w:val="both"/>
        <w:rPr>
          <w:i/>
          <w:color w:val="FF0000"/>
        </w:rPr>
      </w:pPr>
      <w:r>
        <w:rPr>
          <w:i/>
          <w:color w:val="FF0000"/>
        </w:rPr>
        <w:t xml:space="preserve">Medical Marijuana sales in Colorado in 2015 accounted for 144,540 </w:t>
      </w:r>
      <w:proofErr w:type="spellStart"/>
      <w:r>
        <w:rPr>
          <w:i/>
          <w:color w:val="FF0000"/>
        </w:rPr>
        <w:t>lbs</w:t>
      </w:r>
      <w:proofErr w:type="spellEnd"/>
      <w:r>
        <w:rPr>
          <w:i/>
          <w:color w:val="FF0000"/>
        </w:rPr>
        <w:t xml:space="preserve"> or 57.48% of the total marijuana market</w:t>
      </w:r>
      <w:r w:rsidR="00CB0777">
        <w:rPr>
          <w:i/>
          <w:color w:val="FF0000"/>
          <w:vertAlign w:val="superscript"/>
        </w:rPr>
        <w:t>1</w:t>
      </w:r>
    </w:p>
    <w:p w14:paraId="753C2357" w14:textId="4425DE89" w:rsidR="00DD31FD" w:rsidRDefault="00DD31FD" w:rsidP="00DD31FD">
      <w:pPr>
        <w:pStyle w:val="ListParagraph"/>
        <w:numPr>
          <w:ilvl w:val="0"/>
          <w:numId w:val="2"/>
        </w:numPr>
        <w:jc w:val="both"/>
        <w:rPr>
          <w:i/>
          <w:color w:val="FF0000"/>
        </w:rPr>
      </w:pPr>
      <w:r>
        <w:rPr>
          <w:i/>
          <w:color w:val="FF0000"/>
        </w:rPr>
        <w:t xml:space="preserve">Retail and recreational marijuana market accounted for 106,932 </w:t>
      </w:r>
      <w:proofErr w:type="spellStart"/>
      <w:r>
        <w:rPr>
          <w:i/>
          <w:color w:val="FF0000"/>
        </w:rPr>
        <w:t>lbs</w:t>
      </w:r>
      <w:proofErr w:type="spellEnd"/>
      <w:r>
        <w:rPr>
          <w:i/>
          <w:color w:val="FF0000"/>
        </w:rPr>
        <w:t xml:space="preserve"> or 42.52% of the total marijuana market</w:t>
      </w:r>
      <w:r w:rsidR="00CB0777">
        <w:rPr>
          <w:i/>
          <w:color w:val="FF0000"/>
          <w:vertAlign w:val="superscript"/>
        </w:rPr>
        <w:t>1</w:t>
      </w:r>
    </w:p>
    <w:p w14:paraId="5D67D527" w14:textId="6A7551B4" w:rsidR="00DD31FD" w:rsidRDefault="00DD31FD" w:rsidP="00DD31FD">
      <w:pPr>
        <w:pStyle w:val="ListParagraph"/>
        <w:numPr>
          <w:ilvl w:val="0"/>
          <w:numId w:val="2"/>
        </w:numPr>
        <w:jc w:val="both"/>
        <w:rPr>
          <w:i/>
          <w:color w:val="FF0000"/>
        </w:rPr>
      </w:pPr>
      <w:r>
        <w:rPr>
          <w:i/>
          <w:color w:val="FF0000"/>
        </w:rPr>
        <w:t>Based on the Colorado population (non-medical patients) and tourisms numbers, every person who traveled to or lived in Colorado in 2015 consumed 0.59 grams of marijuana.  This number includes people under the age of 21 and people who abstained from marijuana</w:t>
      </w:r>
    </w:p>
    <w:p w14:paraId="17DB3657" w14:textId="34193606" w:rsidR="00CB0777" w:rsidRDefault="00CB0777" w:rsidP="00DD31FD">
      <w:pPr>
        <w:pStyle w:val="ListParagraph"/>
        <w:numPr>
          <w:ilvl w:val="0"/>
          <w:numId w:val="2"/>
        </w:numPr>
        <w:jc w:val="both"/>
        <w:rPr>
          <w:i/>
          <w:color w:val="FF0000"/>
        </w:rPr>
      </w:pPr>
      <w:r>
        <w:rPr>
          <w:i/>
          <w:color w:val="FF0000"/>
        </w:rPr>
        <w:t xml:space="preserve">Colorado medical patients consumed approximately 1.28 </w:t>
      </w:r>
      <w:proofErr w:type="spellStart"/>
      <w:r>
        <w:rPr>
          <w:i/>
          <w:color w:val="FF0000"/>
        </w:rPr>
        <w:t>lbs</w:t>
      </w:r>
      <w:proofErr w:type="spellEnd"/>
      <w:r>
        <w:rPr>
          <w:i/>
          <w:color w:val="FF0000"/>
        </w:rPr>
        <w:t xml:space="preserve"> per patient in 2015</w:t>
      </w:r>
    </w:p>
    <w:p w14:paraId="0A44B5CD" w14:textId="77777777" w:rsidR="00CB0777" w:rsidRDefault="00CB0777" w:rsidP="00CB0777">
      <w:pPr>
        <w:pStyle w:val="ListParagraph"/>
        <w:ind w:left="1440"/>
        <w:jc w:val="both"/>
        <w:rPr>
          <w:i/>
          <w:color w:val="FF0000"/>
        </w:rPr>
      </w:pPr>
    </w:p>
    <w:p w14:paraId="319BF1CD" w14:textId="7F708A01" w:rsidR="00CB0777" w:rsidRDefault="00CB0777" w:rsidP="00CB0777">
      <w:pPr>
        <w:ind w:left="720"/>
        <w:jc w:val="both"/>
        <w:rPr>
          <w:i/>
          <w:color w:val="FF0000"/>
        </w:rPr>
      </w:pPr>
      <w:r>
        <w:rPr>
          <w:i/>
          <w:color w:val="FF0000"/>
        </w:rPr>
        <w:t>Nevada Market Numbers are presented below to correlate to the above stated Colorado and market demand:</w:t>
      </w:r>
    </w:p>
    <w:p w14:paraId="52C58AF4" w14:textId="293ABE71" w:rsidR="00CB0777" w:rsidRDefault="00CB0777" w:rsidP="00CB0777">
      <w:pPr>
        <w:pStyle w:val="ListParagraph"/>
        <w:numPr>
          <w:ilvl w:val="0"/>
          <w:numId w:val="3"/>
        </w:numPr>
        <w:jc w:val="both"/>
        <w:rPr>
          <w:i/>
          <w:color w:val="FF0000"/>
        </w:rPr>
      </w:pPr>
      <w:r>
        <w:rPr>
          <w:i/>
          <w:color w:val="FF0000"/>
        </w:rPr>
        <w:t>In 2015 Nevada had approximately 4,700,000 visitors to the Reno/Tahoe area</w:t>
      </w:r>
      <w:r>
        <w:rPr>
          <w:i/>
          <w:color w:val="FF0000"/>
          <w:vertAlign w:val="superscript"/>
        </w:rPr>
        <w:t>5</w:t>
      </w:r>
      <w:r>
        <w:rPr>
          <w:i/>
          <w:color w:val="FF0000"/>
        </w:rPr>
        <w:t>, 42,312,216 visitors to Las Vegas</w:t>
      </w:r>
      <w:r>
        <w:rPr>
          <w:i/>
          <w:color w:val="FF0000"/>
          <w:vertAlign w:val="superscript"/>
        </w:rPr>
        <w:t>6</w:t>
      </w:r>
      <w:r>
        <w:rPr>
          <w:i/>
          <w:color w:val="FF0000"/>
        </w:rPr>
        <w:t>, and 2,891,000 permanent residents</w:t>
      </w:r>
      <w:r>
        <w:rPr>
          <w:i/>
          <w:color w:val="FF0000"/>
          <w:vertAlign w:val="superscript"/>
        </w:rPr>
        <w:t>7</w:t>
      </w:r>
      <w:r>
        <w:rPr>
          <w:i/>
          <w:color w:val="FF0000"/>
        </w:rPr>
        <w:t>.</w:t>
      </w:r>
    </w:p>
    <w:p w14:paraId="7B41175A" w14:textId="77777777" w:rsidR="00CB0777" w:rsidRDefault="00CB0777" w:rsidP="00CB0777">
      <w:pPr>
        <w:pStyle w:val="ListParagraph"/>
        <w:numPr>
          <w:ilvl w:val="0"/>
          <w:numId w:val="3"/>
        </w:numPr>
        <w:jc w:val="both"/>
        <w:rPr>
          <w:i/>
          <w:color w:val="FF0000"/>
        </w:rPr>
      </w:pPr>
      <w:r>
        <w:rPr>
          <w:i/>
          <w:color w:val="FF0000"/>
        </w:rPr>
        <w:t>The most current patient population report in Nevada, February 2017, listed 26,519 patients</w:t>
      </w:r>
    </w:p>
    <w:p w14:paraId="469810B3" w14:textId="5A679A62" w:rsidR="00CB0777" w:rsidRDefault="00CB0777" w:rsidP="00CB0777">
      <w:pPr>
        <w:pStyle w:val="ListParagraph"/>
        <w:numPr>
          <w:ilvl w:val="0"/>
          <w:numId w:val="3"/>
        </w:numPr>
        <w:jc w:val="both"/>
        <w:rPr>
          <w:i/>
          <w:color w:val="FF0000"/>
        </w:rPr>
      </w:pPr>
      <w:r>
        <w:rPr>
          <w:i/>
          <w:color w:val="FF0000"/>
        </w:rPr>
        <w:t xml:space="preserve">Based on the above, the total visitors, and non-medical residents is 49,903,216 people </w:t>
      </w:r>
    </w:p>
    <w:p w14:paraId="1293C9C4" w14:textId="77777777" w:rsidR="00CB0777" w:rsidRPr="00CB0777" w:rsidRDefault="00CB0777" w:rsidP="00CB0777">
      <w:pPr>
        <w:pStyle w:val="ListParagraph"/>
        <w:ind w:left="1440"/>
        <w:jc w:val="both"/>
        <w:rPr>
          <w:i/>
          <w:color w:val="FF0000"/>
        </w:rPr>
      </w:pPr>
    </w:p>
    <w:p w14:paraId="79CF4934" w14:textId="188AE211" w:rsidR="00CB0777" w:rsidRDefault="00CB0777" w:rsidP="00CB0777">
      <w:pPr>
        <w:ind w:left="720"/>
        <w:jc w:val="both"/>
        <w:rPr>
          <w:i/>
          <w:color w:val="FF0000"/>
        </w:rPr>
      </w:pPr>
      <w:r>
        <w:rPr>
          <w:i/>
          <w:color w:val="FF0000"/>
        </w:rPr>
        <w:t>Assuming Nevada follows a similar market demand based on medical marijuana patients, tourism visitors and residents, the following is a projection of the Market.  The projection is based on the following scenarios</w:t>
      </w:r>
      <w:r w:rsidR="004C4807">
        <w:rPr>
          <w:i/>
          <w:color w:val="FF0000"/>
        </w:rPr>
        <w:t>:</w:t>
      </w:r>
    </w:p>
    <w:p w14:paraId="69024E83" w14:textId="0D265E41" w:rsidR="004C4807" w:rsidRPr="004C4807" w:rsidRDefault="004C4807" w:rsidP="004C4807">
      <w:pPr>
        <w:pStyle w:val="ListParagraph"/>
        <w:jc w:val="both"/>
        <w:rPr>
          <w:b/>
          <w:i/>
          <w:color w:val="FF0000"/>
        </w:rPr>
      </w:pPr>
      <w:r>
        <w:rPr>
          <w:i/>
          <w:color w:val="FF0000"/>
        </w:rPr>
        <w:t xml:space="preserve">Scenario 1: Medical will follow the same as Colorado, 1.28 </w:t>
      </w:r>
      <w:proofErr w:type="spellStart"/>
      <w:r>
        <w:rPr>
          <w:i/>
          <w:color w:val="FF0000"/>
        </w:rPr>
        <w:t>lbs</w:t>
      </w:r>
      <w:proofErr w:type="spellEnd"/>
      <w:r>
        <w:rPr>
          <w:i/>
          <w:color w:val="FF0000"/>
        </w:rPr>
        <w:t xml:space="preserve"> per patient annually, and each visitor and non-medical resident will purchase and consume 0.59 grams.  </w:t>
      </w:r>
      <w:r w:rsidRPr="004C4807">
        <w:rPr>
          <w:b/>
          <w:i/>
          <w:color w:val="FF0000"/>
        </w:rPr>
        <w:t xml:space="preserve">This results in a market demand of 98,646.6 </w:t>
      </w:r>
      <w:proofErr w:type="spellStart"/>
      <w:r w:rsidRPr="004C4807">
        <w:rPr>
          <w:b/>
          <w:i/>
          <w:color w:val="FF0000"/>
        </w:rPr>
        <w:t>lbs</w:t>
      </w:r>
      <w:proofErr w:type="spellEnd"/>
      <w:r w:rsidRPr="004C4807">
        <w:rPr>
          <w:b/>
          <w:i/>
          <w:color w:val="FF0000"/>
        </w:rPr>
        <w:t xml:space="preserve"> per year</w:t>
      </w:r>
    </w:p>
    <w:p w14:paraId="269F66AF" w14:textId="77777777" w:rsidR="004C4807" w:rsidRDefault="004C4807" w:rsidP="004C4807">
      <w:pPr>
        <w:pStyle w:val="ListParagraph"/>
        <w:jc w:val="both"/>
        <w:rPr>
          <w:i/>
          <w:color w:val="FF0000"/>
        </w:rPr>
      </w:pPr>
    </w:p>
    <w:p w14:paraId="00A52EEC" w14:textId="3F2C7BF6" w:rsidR="004C4807" w:rsidRDefault="004C4807" w:rsidP="004C4807">
      <w:pPr>
        <w:pStyle w:val="ListParagraph"/>
        <w:jc w:val="both"/>
        <w:rPr>
          <w:i/>
          <w:color w:val="FF0000"/>
        </w:rPr>
      </w:pPr>
      <w:r>
        <w:rPr>
          <w:i/>
          <w:color w:val="FF0000"/>
        </w:rPr>
        <w:t xml:space="preserve">Scenario 2: Medical will follow the same as Colorado, 1.28 </w:t>
      </w:r>
      <w:proofErr w:type="spellStart"/>
      <w:r>
        <w:rPr>
          <w:i/>
          <w:color w:val="FF0000"/>
        </w:rPr>
        <w:t>lbs</w:t>
      </w:r>
      <w:proofErr w:type="spellEnd"/>
      <w:r>
        <w:rPr>
          <w:i/>
          <w:color w:val="FF0000"/>
        </w:rPr>
        <w:t xml:space="preserve"> per patient annually, and each visitor and non-medical resident will purchase and consume 1.18 grams, two times consumed in Colorado in 2015.</w:t>
      </w:r>
      <w:r w:rsidRPr="004C4807">
        <w:rPr>
          <w:i/>
          <w:color w:val="FF0000"/>
        </w:rPr>
        <w:t xml:space="preserve"> </w:t>
      </w:r>
      <w:r w:rsidRPr="004C4807">
        <w:rPr>
          <w:b/>
          <w:i/>
          <w:color w:val="FF0000"/>
        </w:rPr>
        <w:t xml:space="preserve">This results </w:t>
      </w:r>
      <w:r>
        <w:rPr>
          <w:b/>
          <w:i/>
          <w:color w:val="FF0000"/>
        </w:rPr>
        <w:t>in a market demand of 163,372.4</w:t>
      </w:r>
      <w:r w:rsidRPr="004C4807">
        <w:rPr>
          <w:b/>
          <w:i/>
          <w:color w:val="FF0000"/>
        </w:rPr>
        <w:t xml:space="preserve"> </w:t>
      </w:r>
      <w:proofErr w:type="spellStart"/>
      <w:r w:rsidRPr="004C4807">
        <w:rPr>
          <w:b/>
          <w:i/>
          <w:color w:val="FF0000"/>
        </w:rPr>
        <w:t>lbs</w:t>
      </w:r>
      <w:proofErr w:type="spellEnd"/>
      <w:r w:rsidRPr="004C4807">
        <w:rPr>
          <w:b/>
          <w:i/>
          <w:color w:val="FF0000"/>
        </w:rPr>
        <w:t xml:space="preserve"> per year</w:t>
      </w:r>
    </w:p>
    <w:p w14:paraId="4C331892" w14:textId="7737EC2C" w:rsidR="004C4807" w:rsidRDefault="004C4807" w:rsidP="004C4807">
      <w:pPr>
        <w:pStyle w:val="ListParagraph"/>
        <w:jc w:val="both"/>
        <w:rPr>
          <w:i/>
          <w:color w:val="FF0000"/>
        </w:rPr>
      </w:pPr>
    </w:p>
    <w:p w14:paraId="4078D95F" w14:textId="77777777" w:rsidR="004C4807" w:rsidRDefault="004C4807" w:rsidP="004C4807">
      <w:pPr>
        <w:pStyle w:val="ListParagraph"/>
        <w:jc w:val="both"/>
        <w:rPr>
          <w:i/>
          <w:color w:val="FF0000"/>
        </w:rPr>
      </w:pPr>
    </w:p>
    <w:p w14:paraId="31E6D071" w14:textId="1686DE85" w:rsidR="004C4807" w:rsidRDefault="004C4807" w:rsidP="004C4807">
      <w:pPr>
        <w:pStyle w:val="ListParagraph"/>
        <w:jc w:val="both"/>
        <w:rPr>
          <w:i/>
          <w:color w:val="FF0000"/>
        </w:rPr>
      </w:pPr>
      <w:r>
        <w:rPr>
          <w:i/>
          <w:color w:val="FF0000"/>
        </w:rPr>
        <w:t xml:space="preserve">Scenario 3: Medical will follow the maximum allotment of 2.5 </w:t>
      </w:r>
      <w:proofErr w:type="spellStart"/>
      <w:r>
        <w:rPr>
          <w:i/>
          <w:color w:val="FF0000"/>
        </w:rPr>
        <w:t>oz</w:t>
      </w:r>
      <w:proofErr w:type="spellEnd"/>
      <w:r>
        <w:rPr>
          <w:i/>
          <w:color w:val="FF0000"/>
        </w:rPr>
        <w:t xml:space="preserve">/two week period or approximately 4.06 </w:t>
      </w:r>
      <w:proofErr w:type="spellStart"/>
      <w:r>
        <w:rPr>
          <w:i/>
          <w:color w:val="FF0000"/>
        </w:rPr>
        <w:t>lbs</w:t>
      </w:r>
      <w:proofErr w:type="spellEnd"/>
      <w:r>
        <w:rPr>
          <w:i/>
          <w:color w:val="FF0000"/>
        </w:rPr>
        <w:t xml:space="preserve"> per patient annually, and each visitor and non-medical resident will purchase and consume 0.59 grams.</w:t>
      </w:r>
      <w:r w:rsidRPr="004C4807">
        <w:rPr>
          <w:b/>
          <w:i/>
          <w:color w:val="FF0000"/>
        </w:rPr>
        <w:t xml:space="preserve"> This results</w:t>
      </w:r>
      <w:r>
        <w:rPr>
          <w:b/>
          <w:i/>
          <w:color w:val="FF0000"/>
        </w:rPr>
        <w:t xml:space="preserve"> in a market demand of 172,459.2</w:t>
      </w:r>
      <w:r w:rsidRPr="004C4807">
        <w:rPr>
          <w:b/>
          <w:i/>
          <w:color w:val="FF0000"/>
        </w:rPr>
        <w:t xml:space="preserve"> </w:t>
      </w:r>
      <w:proofErr w:type="spellStart"/>
      <w:r w:rsidRPr="004C4807">
        <w:rPr>
          <w:b/>
          <w:i/>
          <w:color w:val="FF0000"/>
        </w:rPr>
        <w:t>lbs</w:t>
      </w:r>
      <w:proofErr w:type="spellEnd"/>
      <w:r w:rsidRPr="004C4807">
        <w:rPr>
          <w:b/>
          <w:i/>
          <w:color w:val="FF0000"/>
        </w:rPr>
        <w:t xml:space="preserve"> per year</w:t>
      </w:r>
    </w:p>
    <w:p w14:paraId="0DC93D1B" w14:textId="13FAA7E0" w:rsidR="004C4807" w:rsidRDefault="004C4807" w:rsidP="004C4807">
      <w:pPr>
        <w:pStyle w:val="ListParagraph"/>
        <w:jc w:val="both"/>
        <w:rPr>
          <w:i/>
          <w:color w:val="FF0000"/>
        </w:rPr>
      </w:pPr>
    </w:p>
    <w:p w14:paraId="7C39F2D9" w14:textId="77777777" w:rsidR="004C4807" w:rsidRDefault="004C4807" w:rsidP="004C4807">
      <w:pPr>
        <w:pStyle w:val="ListParagraph"/>
        <w:jc w:val="both"/>
        <w:rPr>
          <w:i/>
          <w:color w:val="FF0000"/>
        </w:rPr>
      </w:pPr>
    </w:p>
    <w:p w14:paraId="33AD11C9" w14:textId="63200E0C" w:rsidR="004C4807" w:rsidRDefault="004C4807" w:rsidP="004C4807">
      <w:pPr>
        <w:pStyle w:val="ListParagraph"/>
        <w:jc w:val="both"/>
        <w:rPr>
          <w:i/>
          <w:color w:val="FF0000"/>
        </w:rPr>
      </w:pPr>
      <w:r>
        <w:rPr>
          <w:i/>
          <w:color w:val="FF0000"/>
        </w:rPr>
        <w:t xml:space="preserve">Scenario 4: Medical will follow the maximum allotment of 2.5 </w:t>
      </w:r>
      <w:proofErr w:type="spellStart"/>
      <w:r>
        <w:rPr>
          <w:i/>
          <w:color w:val="FF0000"/>
        </w:rPr>
        <w:t>oz</w:t>
      </w:r>
      <w:proofErr w:type="spellEnd"/>
      <w:r>
        <w:rPr>
          <w:i/>
          <w:color w:val="FF0000"/>
        </w:rPr>
        <w:t xml:space="preserve">/two week period or approximately 4.06 </w:t>
      </w:r>
      <w:proofErr w:type="spellStart"/>
      <w:r>
        <w:rPr>
          <w:i/>
          <w:color w:val="FF0000"/>
        </w:rPr>
        <w:t>lbs</w:t>
      </w:r>
      <w:proofErr w:type="spellEnd"/>
      <w:r>
        <w:rPr>
          <w:i/>
          <w:color w:val="FF0000"/>
        </w:rPr>
        <w:t xml:space="preserve"> per patient annually, and each visitor and non-medical resident will purchase and consume 1.18 grams,</w:t>
      </w:r>
      <w:r w:rsidRPr="004C4807">
        <w:rPr>
          <w:i/>
          <w:color w:val="FF0000"/>
        </w:rPr>
        <w:t xml:space="preserve"> </w:t>
      </w:r>
      <w:r>
        <w:rPr>
          <w:i/>
          <w:color w:val="FF0000"/>
        </w:rPr>
        <w:t>two times consumed in Colorado in 2015.</w:t>
      </w:r>
      <w:r w:rsidRPr="004C4807">
        <w:rPr>
          <w:b/>
          <w:i/>
          <w:color w:val="FF0000"/>
        </w:rPr>
        <w:t xml:space="preserve"> This results</w:t>
      </w:r>
      <w:r>
        <w:rPr>
          <w:b/>
          <w:i/>
          <w:color w:val="FF0000"/>
        </w:rPr>
        <w:t xml:space="preserve"> in a market demand of 237,185</w:t>
      </w:r>
      <w:r w:rsidRPr="004C4807">
        <w:rPr>
          <w:b/>
          <w:i/>
          <w:color w:val="FF0000"/>
        </w:rPr>
        <w:t xml:space="preserve"> </w:t>
      </w:r>
      <w:proofErr w:type="spellStart"/>
      <w:r w:rsidRPr="004C4807">
        <w:rPr>
          <w:b/>
          <w:i/>
          <w:color w:val="FF0000"/>
        </w:rPr>
        <w:t>lbs</w:t>
      </w:r>
      <w:proofErr w:type="spellEnd"/>
      <w:r w:rsidRPr="004C4807">
        <w:rPr>
          <w:b/>
          <w:i/>
          <w:color w:val="FF0000"/>
        </w:rPr>
        <w:t xml:space="preserve"> per year</w:t>
      </w:r>
    </w:p>
    <w:p w14:paraId="3A874140" w14:textId="291DFB95" w:rsidR="004C4807" w:rsidRDefault="004C4807" w:rsidP="004C4807">
      <w:pPr>
        <w:pStyle w:val="ListParagraph"/>
        <w:jc w:val="both"/>
        <w:rPr>
          <w:i/>
          <w:color w:val="FF0000"/>
        </w:rPr>
      </w:pPr>
    </w:p>
    <w:p w14:paraId="286440FD" w14:textId="77777777" w:rsidR="004C4807" w:rsidRDefault="004C4807" w:rsidP="004C4807">
      <w:pPr>
        <w:pStyle w:val="ListParagraph"/>
        <w:jc w:val="both"/>
        <w:rPr>
          <w:i/>
          <w:color w:val="FF0000"/>
        </w:rPr>
      </w:pPr>
    </w:p>
    <w:p w14:paraId="0FD03C92" w14:textId="1FD249B7" w:rsidR="004C4807" w:rsidRDefault="004C4807" w:rsidP="004C4807">
      <w:pPr>
        <w:pStyle w:val="ListParagraph"/>
        <w:jc w:val="both"/>
        <w:rPr>
          <w:i/>
          <w:color w:val="FF0000"/>
        </w:rPr>
      </w:pPr>
      <w:r>
        <w:rPr>
          <w:i/>
          <w:color w:val="FF0000"/>
        </w:rPr>
        <w:t xml:space="preserve">Scenario 5: Medical will follow the maximum allotment of 2.5 </w:t>
      </w:r>
      <w:proofErr w:type="spellStart"/>
      <w:r>
        <w:rPr>
          <w:i/>
          <w:color w:val="FF0000"/>
        </w:rPr>
        <w:t>oz</w:t>
      </w:r>
      <w:proofErr w:type="spellEnd"/>
      <w:r>
        <w:rPr>
          <w:i/>
          <w:color w:val="FF0000"/>
        </w:rPr>
        <w:t xml:space="preserve">/two week period or approximately 4.06 </w:t>
      </w:r>
      <w:proofErr w:type="spellStart"/>
      <w:r>
        <w:rPr>
          <w:i/>
          <w:color w:val="FF0000"/>
        </w:rPr>
        <w:t>lbs</w:t>
      </w:r>
      <w:proofErr w:type="spellEnd"/>
      <w:r>
        <w:rPr>
          <w:i/>
          <w:color w:val="FF0000"/>
        </w:rPr>
        <w:t xml:space="preserve"> per patient annually, and each visitor and non-medical resident will purchase and consume 1.18 grams,</w:t>
      </w:r>
      <w:r w:rsidRPr="004C4807">
        <w:rPr>
          <w:i/>
          <w:color w:val="FF0000"/>
        </w:rPr>
        <w:t xml:space="preserve"> </w:t>
      </w:r>
      <w:r>
        <w:rPr>
          <w:i/>
          <w:color w:val="FF0000"/>
        </w:rPr>
        <w:t>two times consumed in Colorado in 2015</w:t>
      </w:r>
      <w:r w:rsidRPr="004C4807">
        <w:rPr>
          <w:b/>
          <w:i/>
          <w:color w:val="FF0000"/>
        </w:rPr>
        <w:t xml:space="preserve"> This results</w:t>
      </w:r>
      <w:r>
        <w:rPr>
          <w:b/>
          <w:i/>
          <w:color w:val="FF0000"/>
        </w:rPr>
        <w:t xml:space="preserve"> in a market demand of 431,994.4</w:t>
      </w:r>
      <w:r w:rsidRPr="004C4807">
        <w:rPr>
          <w:b/>
          <w:i/>
          <w:color w:val="FF0000"/>
        </w:rPr>
        <w:t xml:space="preserve"> </w:t>
      </w:r>
      <w:proofErr w:type="spellStart"/>
      <w:r w:rsidRPr="004C4807">
        <w:rPr>
          <w:b/>
          <w:i/>
          <w:color w:val="FF0000"/>
        </w:rPr>
        <w:t>lbs</w:t>
      </w:r>
      <w:proofErr w:type="spellEnd"/>
      <w:r w:rsidRPr="004C4807">
        <w:rPr>
          <w:b/>
          <w:i/>
          <w:color w:val="FF0000"/>
        </w:rPr>
        <w:t xml:space="preserve"> per year</w:t>
      </w:r>
    </w:p>
    <w:p w14:paraId="46732840" w14:textId="1DB7952A" w:rsidR="004C4807" w:rsidRDefault="004C4807" w:rsidP="004C4807">
      <w:pPr>
        <w:pStyle w:val="ListParagraph"/>
        <w:jc w:val="both"/>
        <w:rPr>
          <w:i/>
          <w:color w:val="FF0000"/>
        </w:rPr>
      </w:pPr>
    </w:p>
    <w:p w14:paraId="4ADBEB3A" w14:textId="1DBE19B5" w:rsidR="004C4807" w:rsidRDefault="004C4807" w:rsidP="004C4807">
      <w:pPr>
        <w:pStyle w:val="ListParagraph"/>
        <w:jc w:val="both"/>
        <w:rPr>
          <w:i/>
          <w:color w:val="FF0000"/>
        </w:rPr>
      </w:pPr>
      <w:r>
        <w:rPr>
          <w:i/>
          <w:color w:val="FF0000"/>
        </w:rPr>
        <w:t>It is estimated that the total marked demand in NV will fall similar to Colorado projects and pos</w:t>
      </w:r>
      <w:r w:rsidR="00BF34E3">
        <w:rPr>
          <w:i/>
          <w:color w:val="FF0000"/>
        </w:rPr>
        <w:t>sible meet the projections in Scenario 2 and Scenario 3.  Based on these numbers, even with the highest projections, Scenario 5, the total open and provisional licenses will be able to meet the demand.  Figure 4 details the 5 scenarios based on the Nevada annual projected harvest.</w:t>
      </w:r>
    </w:p>
    <w:p w14:paraId="71DF0672" w14:textId="77777777" w:rsidR="004C4807" w:rsidRDefault="004C4807" w:rsidP="004C4807">
      <w:pPr>
        <w:pStyle w:val="ListParagraph"/>
        <w:jc w:val="both"/>
        <w:rPr>
          <w:i/>
          <w:color w:val="FF0000"/>
        </w:rPr>
      </w:pPr>
    </w:p>
    <w:p w14:paraId="3DD41F80" w14:textId="26BCACB8" w:rsidR="004C4807" w:rsidRPr="00BF34E3" w:rsidRDefault="005F266D" w:rsidP="00BF34E3">
      <w:pPr>
        <w:pStyle w:val="ListParagraph"/>
        <w:jc w:val="both"/>
        <w:rPr>
          <w:i/>
          <w:color w:val="FF0000"/>
        </w:rPr>
      </w:pPr>
      <w:r>
        <w:rPr>
          <w:noProof/>
        </w:rPr>
        <w:drawing>
          <wp:inline distT="0" distB="0" distL="0" distR="0" wp14:anchorId="2F3ADF65" wp14:editId="2B62A5E1">
            <wp:extent cx="5486400" cy="3382433"/>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3"/>
                    <a:stretch>
                      <a:fillRect/>
                    </a:stretch>
                  </pic:blipFill>
                  <pic:spPr>
                    <a:xfrm>
                      <a:off x="0" y="0"/>
                      <a:ext cx="5486400" cy="3382433"/>
                    </a:xfrm>
                    <a:prstGeom prst="rect">
                      <a:avLst/>
                    </a:prstGeom>
                  </pic:spPr>
                </pic:pic>
              </a:graphicData>
            </a:graphic>
          </wp:inline>
        </w:drawing>
      </w:r>
    </w:p>
    <w:p w14:paraId="523B0E81" w14:textId="50DCEB03" w:rsidR="00BF34E3" w:rsidRDefault="00BF34E3" w:rsidP="00BF34E3">
      <w:pPr>
        <w:ind w:left="720"/>
        <w:jc w:val="both"/>
        <w:rPr>
          <w:i/>
          <w:color w:val="FF0000"/>
        </w:rPr>
      </w:pPr>
      <w:r>
        <w:rPr>
          <w:i/>
          <w:color w:val="FF0000"/>
        </w:rPr>
        <w:t>Figure 4</w:t>
      </w:r>
      <w:r w:rsidRPr="005B7FB5">
        <w:rPr>
          <w:i/>
          <w:color w:val="FF0000"/>
        </w:rPr>
        <w:t xml:space="preserve">: The projected annual marijuana harvest </w:t>
      </w:r>
      <w:r>
        <w:rPr>
          <w:i/>
          <w:color w:val="FF0000"/>
        </w:rPr>
        <w:t>and demand scenarios</w:t>
      </w:r>
    </w:p>
    <w:p w14:paraId="03C539BF" w14:textId="77777777" w:rsidR="00124392" w:rsidRDefault="00124392" w:rsidP="005F266D">
      <w:pPr>
        <w:spacing w:after="0"/>
        <w:rPr>
          <w:b/>
          <w:sz w:val="18"/>
          <w:szCs w:val="18"/>
        </w:rPr>
      </w:pPr>
    </w:p>
    <w:sectPr w:rsidR="00124392">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F8055" w14:textId="77777777" w:rsidR="00277637" w:rsidRDefault="00277637" w:rsidP="00391997">
      <w:pPr>
        <w:spacing w:after="0" w:line="240" w:lineRule="auto"/>
      </w:pPr>
      <w:r>
        <w:separator/>
      </w:r>
    </w:p>
  </w:endnote>
  <w:endnote w:type="continuationSeparator" w:id="0">
    <w:p w14:paraId="64630D65" w14:textId="77777777" w:rsidR="00277637" w:rsidRDefault="00277637"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4DC67" w14:textId="39EECC5D" w:rsidR="004C4807" w:rsidRPr="00F43822" w:rsidRDefault="004C4807"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F962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" o:allowincell="f" strokecolor="navy" strokeweight="1pt"/>
          </w:pict>
        </mc:Fallback>
      </mc:AlternateContent>
    </w:r>
    <w:r w:rsidR="006C2DD0">
      <w:rPr>
        <w:rFonts w:ascii="Calibri" w:eastAsia="Times New Roman" w:hAnsi="Calibri" w:cs="Times New Roman"/>
        <w:b/>
        <w:i/>
        <w:color w:val="3737A5"/>
        <w:sz w:val="16"/>
        <w:szCs w:val="16"/>
      </w:rPr>
      <w:t>Cultivation Supply Management v. 2</w:t>
    </w:r>
    <w:r>
      <w:rPr>
        <w:rFonts w:ascii="Calibri" w:eastAsia="Times New Roman" w:hAnsi="Calibri" w:cs="Times New Roman"/>
        <w:b/>
        <w:i/>
        <w:color w:val="3737A5"/>
        <w:sz w:val="16"/>
        <w:szCs w:val="16"/>
      </w:rPr>
      <w:t xml:space="preserve"> - Recommendation</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Pr>
        <w:rFonts w:ascii="Calibri" w:eastAsia="Times New Roman" w:hAnsi="Calibri" w:cs="Times New Roman"/>
        <w:bCs/>
        <w:i/>
        <w:color w:val="3737A5"/>
        <w:sz w:val="16"/>
        <w:szCs w:val="16"/>
      </w:rPr>
      <w:t>May 12, 2017</w:t>
    </w:r>
  </w:p>
  <w:p w14:paraId="3EA83F4C" w14:textId="53E31E85" w:rsidR="004C4807" w:rsidRPr="00F43822" w:rsidRDefault="004C4807"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4C4807" w:rsidRDefault="004C4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D4397" w14:textId="77777777" w:rsidR="00277637" w:rsidRDefault="00277637" w:rsidP="00391997">
      <w:pPr>
        <w:spacing w:after="0" w:line="240" w:lineRule="auto"/>
      </w:pPr>
      <w:r>
        <w:separator/>
      </w:r>
    </w:p>
  </w:footnote>
  <w:footnote w:type="continuationSeparator" w:id="0">
    <w:p w14:paraId="4BCCA278" w14:textId="77777777" w:rsidR="00277637" w:rsidRDefault="00277637"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F608A" w14:textId="4FBC849A" w:rsidR="004C4807" w:rsidRPr="00F43822" w:rsidRDefault="004C4807" w:rsidP="008313F9">
    <w:pPr>
      <w:pStyle w:val="Heading2"/>
      <w:ind w:left="0"/>
      <w:jc w:val="center"/>
      <w:rPr>
        <w:sz w:val="22"/>
        <w:szCs w:val="22"/>
      </w:rPr>
    </w:pPr>
    <w:r>
      <w:rPr>
        <w:sz w:val="22"/>
        <w:szCs w:val="22"/>
      </w:rPr>
      <w:t>Cultivation Supply Management - Recommendation</w:t>
    </w:r>
  </w:p>
  <w:p w14:paraId="17B7899E" w14:textId="77777777" w:rsidR="004C4807" w:rsidRDefault="004C4807"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B7C9A"/>
    <w:multiLevelType w:val="hybridMultilevel"/>
    <w:tmpl w:val="C358B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DD26AA"/>
    <w:multiLevelType w:val="hybridMultilevel"/>
    <w:tmpl w:val="461E3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266C91"/>
    <w:multiLevelType w:val="hybridMultilevel"/>
    <w:tmpl w:val="91167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E2"/>
    <w:rsid w:val="00002F6E"/>
    <w:rsid w:val="0001125E"/>
    <w:rsid w:val="00060468"/>
    <w:rsid w:val="00065ACB"/>
    <w:rsid w:val="0007611A"/>
    <w:rsid w:val="000A61D0"/>
    <w:rsid w:val="000B01A4"/>
    <w:rsid w:val="000C1E59"/>
    <w:rsid w:val="000C2BC4"/>
    <w:rsid w:val="00114EF2"/>
    <w:rsid w:val="00124392"/>
    <w:rsid w:val="0018160B"/>
    <w:rsid w:val="001866F9"/>
    <w:rsid w:val="001B0ADC"/>
    <w:rsid w:val="001B10FF"/>
    <w:rsid w:val="001D6D11"/>
    <w:rsid w:val="001E60AB"/>
    <w:rsid w:val="00202E4C"/>
    <w:rsid w:val="0023729A"/>
    <w:rsid w:val="00261B3E"/>
    <w:rsid w:val="00277637"/>
    <w:rsid w:val="002A599D"/>
    <w:rsid w:val="003110FB"/>
    <w:rsid w:val="00370100"/>
    <w:rsid w:val="00391997"/>
    <w:rsid w:val="003D59B9"/>
    <w:rsid w:val="004039AB"/>
    <w:rsid w:val="00435662"/>
    <w:rsid w:val="00442A3F"/>
    <w:rsid w:val="0049632A"/>
    <w:rsid w:val="004C4807"/>
    <w:rsid w:val="00565923"/>
    <w:rsid w:val="00575DB5"/>
    <w:rsid w:val="0058744A"/>
    <w:rsid w:val="005B7FB5"/>
    <w:rsid w:val="005E102D"/>
    <w:rsid w:val="005F266D"/>
    <w:rsid w:val="00642B76"/>
    <w:rsid w:val="00647A54"/>
    <w:rsid w:val="00672BE0"/>
    <w:rsid w:val="006A0990"/>
    <w:rsid w:val="006B0A7E"/>
    <w:rsid w:val="006C2DD0"/>
    <w:rsid w:val="006D4662"/>
    <w:rsid w:val="006D666F"/>
    <w:rsid w:val="00700DCA"/>
    <w:rsid w:val="00725073"/>
    <w:rsid w:val="00753FA6"/>
    <w:rsid w:val="007746E2"/>
    <w:rsid w:val="00774894"/>
    <w:rsid w:val="007765FD"/>
    <w:rsid w:val="007A4A8C"/>
    <w:rsid w:val="0080124B"/>
    <w:rsid w:val="00810F46"/>
    <w:rsid w:val="008313F9"/>
    <w:rsid w:val="00865368"/>
    <w:rsid w:val="00882EE9"/>
    <w:rsid w:val="008D5094"/>
    <w:rsid w:val="008E075D"/>
    <w:rsid w:val="008F0634"/>
    <w:rsid w:val="009201F4"/>
    <w:rsid w:val="00925B29"/>
    <w:rsid w:val="009264B2"/>
    <w:rsid w:val="00942A69"/>
    <w:rsid w:val="00957E83"/>
    <w:rsid w:val="00961D8A"/>
    <w:rsid w:val="009805E6"/>
    <w:rsid w:val="00996A51"/>
    <w:rsid w:val="009D1938"/>
    <w:rsid w:val="009E50D8"/>
    <w:rsid w:val="00A15CFC"/>
    <w:rsid w:val="00A312E6"/>
    <w:rsid w:val="00A65F54"/>
    <w:rsid w:val="00AB2CB8"/>
    <w:rsid w:val="00AB71F7"/>
    <w:rsid w:val="00AC36CE"/>
    <w:rsid w:val="00AF169D"/>
    <w:rsid w:val="00AF16B9"/>
    <w:rsid w:val="00B11C15"/>
    <w:rsid w:val="00B70E4E"/>
    <w:rsid w:val="00BC0B03"/>
    <w:rsid w:val="00BC0F10"/>
    <w:rsid w:val="00BF34E3"/>
    <w:rsid w:val="00BF6BBC"/>
    <w:rsid w:val="00C06DA9"/>
    <w:rsid w:val="00C956FE"/>
    <w:rsid w:val="00CB0777"/>
    <w:rsid w:val="00CC30A8"/>
    <w:rsid w:val="00D22E65"/>
    <w:rsid w:val="00D55974"/>
    <w:rsid w:val="00D628BC"/>
    <w:rsid w:val="00D926ED"/>
    <w:rsid w:val="00DA287B"/>
    <w:rsid w:val="00DB7A5F"/>
    <w:rsid w:val="00DC4C91"/>
    <w:rsid w:val="00DD1A10"/>
    <w:rsid w:val="00DD31FD"/>
    <w:rsid w:val="00DE0ABD"/>
    <w:rsid w:val="00E03F72"/>
    <w:rsid w:val="00E65862"/>
    <w:rsid w:val="00E76E2C"/>
    <w:rsid w:val="00E9081E"/>
    <w:rsid w:val="00E96CEA"/>
    <w:rsid w:val="00EC03A5"/>
    <w:rsid w:val="00F046BC"/>
    <w:rsid w:val="00F12FC1"/>
    <w:rsid w:val="00F27CF2"/>
    <w:rsid w:val="00F43822"/>
    <w:rsid w:val="00F45969"/>
    <w:rsid w:val="00F565DE"/>
    <w:rsid w:val="00F72CC5"/>
    <w:rsid w:val="00FB252E"/>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15:docId w15:val="{19BBED8C-3EEB-4E5C-8BA7-E30DBD7F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940483">
      <w:bodyDiv w:val="1"/>
      <w:marLeft w:val="0"/>
      <w:marRight w:val="0"/>
      <w:marTop w:val="0"/>
      <w:marBottom w:val="0"/>
      <w:divBdr>
        <w:top w:val="none" w:sz="0" w:space="0" w:color="auto"/>
        <w:left w:val="none" w:sz="0" w:space="0" w:color="auto"/>
        <w:bottom w:val="none" w:sz="0" w:space="0" w:color="auto"/>
        <w:right w:val="none" w:sz="0" w:space="0" w:color="auto"/>
      </w:divBdr>
    </w:div>
    <w:div w:id="176981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trognier\Desktop\Cultivation%20Square%20Footag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Facility Square Footage </a:t>
            </a:r>
          </a:p>
          <a:p>
            <a:pPr>
              <a:defRPr/>
            </a:pPr>
            <a:r>
              <a:rPr lang="en-US" sz="1100"/>
              <a:t>n=65</a:t>
            </a:r>
          </a:p>
        </c:rich>
      </c:tx>
      <c:layout>
        <c:manualLayout>
          <c:xMode val="edge"/>
          <c:yMode val="edge"/>
          <c:x val="0.260538869767028"/>
          <c:y val="0"/>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manualLayout>
          <c:layoutTarget val="inner"/>
          <c:xMode val="edge"/>
          <c:yMode val="edge"/>
          <c:x val="6.3790110068576794E-2"/>
          <c:y val="0.14828583373103499"/>
          <c:w val="0.90693510616562201"/>
          <c:h val="0.65501947372463798"/>
        </c:manualLayout>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Sheet1!$R$14:$V$14</c:f>
              <c:strCache>
                <c:ptCount val="5"/>
                <c:pt idx="0">
                  <c:v>Over 100K</c:v>
                </c:pt>
                <c:pt idx="1">
                  <c:v>50K-99k</c:v>
                </c:pt>
                <c:pt idx="2">
                  <c:v>30k-49k</c:v>
                </c:pt>
                <c:pt idx="3">
                  <c:v>10k-29k</c:v>
                </c:pt>
                <c:pt idx="4">
                  <c:v>Under 10k</c:v>
                </c:pt>
              </c:strCache>
            </c:strRef>
          </c:cat>
          <c:val>
            <c:numRef>
              <c:f>Sheet1!$R$15:$V$15</c:f>
              <c:numCache>
                <c:formatCode>General</c:formatCode>
                <c:ptCount val="5"/>
                <c:pt idx="0">
                  <c:v>3</c:v>
                </c:pt>
                <c:pt idx="1">
                  <c:v>5</c:v>
                </c:pt>
                <c:pt idx="2">
                  <c:v>8</c:v>
                </c:pt>
                <c:pt idx="3">
                  <c:v>30</c:v>
                </c:pt>
                <c:pt idx="4">
                  <c:v>19</c:v>
                </c:pt>
              </c:numCache>
            </c:numRef>
          </c:val>
        </c:ser>
        <c:dLbls>
          <c:dLblPos val="inEnd"/>
          <c:showLegendKey val="0"/>
          <c:showVal val="1"/>
          <c:showCatName val="0"/>
          <c:showSerName val="0"/>
          <c:showPercent val="0"/>
          <c:showBubbleSize val="0"/>
        </c:dLbls>
        <c:gapWidth val="100"/>
        <c:overlap val="-24"/>
        <c:axId val="433959776"/>
        <c:axId val="433960560"/>
      </c:barChart>
      <c:catAx>
        <c:axId val="43395977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33960560"/>
        <c:crosses val="autoZero"/>
        <c:auto val="1"/>
        <c:lblAlgn val="ctr"/>
        <c:lblOffset val="100"/>
        <c:noMultiLvlLbl val="0"/>
      </c:catAx>
      <c:valAx>
        <c:axId val="433960560"/>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33959776"/>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C8949-D71F-4CCF-A399-A4EB442FB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10043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mkretch@quantummark.com</cp:lastModifiedBy>
  <cp:revision>2</cp:revision>
  <cp:lastPrinted>2017-03-01T23:42:00Z</cp:lastPrinted>
  <dcterms:created xsi:type="dcterms:W3CDTF">2017-05-01T21:08:00Z</dcterms:created>
  <dcterms:modified xsi:type="dcterms:W3CDTF">2017-05-01T21:08:00Z</dcterms:modified>
</cp:coreProperties>
</file>